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DF56" w14:textId="77777777" w:rsidR="00102A70" w:rsidRPr="007E4F42" w:rsidRDefault="00102A70" w:rsidP="00102A70">
      <w:pPr>
        <w:rPr>
          <w:rFonts w:ascii="Verdana" w:hAnsi="Verdana"/>
          <w:sz w:val="22"/>
          <w:szCs w:val="22"/>
        </w:rPr>
      </w:pPr>
    </w:p>
    <w:p w14:paraId="166FCB2C" w14:textId="77777777" w:rsidR="00102A70" w:rsidRPr="007E4F42" w:rsidRDefault="00102A70" w:rsidP="00102A70">
      <w:pPr>
        <w:jc w:val="center"/>
        <w:outlineLvl w:val="0"/>
        <w:rPr>
          <w:rFonts w:ascii="Verdana" w:hAnsi="Verdana"/>
          <w:sz w:val="22"/>
          <w:szCs w:val="22"/>
        </w:rPr>
      </w:pPr>
      <w:bookmarkStart w:id="0" w:name="_Toc460913947"/>
      <w:proofErr w:type="spellStart"/>
      <w:r w:rsidRPr="007E4F42">
        <w:rPr>
          <w:rFonts w:ascii="Verdana" w:hAnsi="Verdana"/>
          <w:color w:val="000000"/>
          <w:sz w:val="22"/>
          <w:szCs w:val="22"/>
        </w:rPr>
        <w:t>Mitchill</w:t>
      </w:r>
      <w:proofErr w:type="spellEnd"/>
      <w:r w:rsidRPr="007E4F42">
        <w:rPr>
          <w:rFonts w:ascii="Verdana" w:hAnsi="Verdana"/>
          <w:color w:val="000000"/>
          <w:sz w:val="22"/>
          <w:szCs w:val="22"/>
        </w:rPr>
        <w:t xml:space="preserve"> v. Lath</w:t>
      </w:r>
      <w:bookmarkEnd w:id="0"/>
    </w:p>
    <w:p w14:paraId="59D2243C" w14:textId="77777777" w:rsidR="00102A70" w:rsidRPr="007E4F42" w:rsidRDefault="00102A70" w:rsidP="00102A70">
      <w:pPr>
        <w:jc w:val="center"/>
        <w:rPr>
          <w:rFonts w:ascii="Verdana" w:hAnsi="Verdana"/>
          <w:sz w:val="22"/>
          <w:szCs w:val="22"/>
        </w:rPr>
      </w:pPr>
      <w:r w:rsidRPr="007E4F42">
        <w:rPr>
          <w:rFonts w:ascii="Verdana" w:hAnsi="Verdana"/>
          <w:color w:val="000000"/>
          <w:sz w:val="22"/>
          <w:szCs w:val="22"/>
        </w:rPr>
        <w:t> </w:t>
      </w:r>
      <w:r w:rsidRPr="007E4F42">
        <w:rPr>
          <w:rFonts w:ascii="Verdana" w:hAnsi="Verdana"/>
          <w:color w:val="000000"/>
          <w:sz w:val="22"/>
          <w:szCs w:val="22"/>
        </w:rPr>
        <w:br/>
        <w:t xml:space="preserve">160 N.E. 646 (N.Y. 1928) </w:t>
      </w:r>
    </w:p>
    <w:p w14:paraId="6DC4F60C"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Andrews, J. </w:t>
      </w:r>
    </w:p>
    <w:p w14:paraId="38202BE9"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454165BB"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In the </w:t>
      </w:r>
      <w:proofErr w:type="gramStart"/>
      <w:r w:rsidRPr="007E4F42">
        <w:rPr>
          <w:rFonts w:ascii="Verdana" w:hAnsi="Verdana"/>
          <w:color w:val="000000"/>
          <w:sz w:val="22"/>
          <w:szCs w:val="22"/>
        </w:rPr>
        <w:t>fall of 1923</w:t>
      </w:r>
      <w:proofErr w:type="gramEnd"/>
      <w:r w:rsidRPr="007E4F42">
        <w:rPr>
          <w:rFonts w:ascii="Verdana" w:hAnsi="Verdana"/>
          <w:color w:val="000000"/>
          <w:sz w:val="22"/>
          <w:szCs w:val="22"/>
        </w:rPr>
        <w:t xml:space="preserve"> the Laths owned a farm. This they wished to sell. Across the road, on land belonging to Lieutenant-Governor Lunn, they had an ice house which they might remove. Mrs. </w:t>
      </w:r>
      <w:proofErr w:type="spellStart"/>
      <w:r w:rsidRPr="007E4F42">
        <w:rPr>
          <w:rFonts w:ascii="Verdana" w:hAnsi="Verdana"/>
          <w:color w:val="000000"/>
          <w:sz w:val="22"/>
          <w:szCs w:val="22"/>
        </w:rPr>
        <w:t>Mitchill</w:t>
      </w:r>
      <w:proofErr w:type="spellEnd"/>
      <w:r w:rsidRPr="007E4F42">
        <w:rPr>
          <w:rFonts w:ascii="Verdana" w:hAnsi="Verdana"/>
          <w:color w:val="000000"/>
          <w:sz w:val="22"/>
          <w:szCs w:val="22"/>
        </w:rPr>
        <w:t xml:space="preserve"> looked over the land with a view to its purchase. She found the ice house objectionable. Thereupon "the defendants orally promised and agreed, for and in consideration of the purchase of their farm by the plaintiff, to remove the said ice house in the spring of 1924." Relying upon this promise, she made a written contract to buy the property for $8,400, for cash and a mortgage and containing various provisions usual in such papers. Later receiving a deed, she entered into possession and has spent considerable sums in improving the property for use as a summer residence. </w:t>
      </w:r>
    </w:p>
    <w:p w14:paraId="78E899D6" w14:textId="77777777" w:rsidR="00102A70" w:rsidRPr="007E4F42" w:rsidRDefault="00102A70" w:rsidP="00102A70">
      <w:pPr>
        <w:jc w:val="center"/>
        <w:rPr>
          <w:rFonts w:ascii="Verdana" w:hAnsi="Verdana"/>
          <w:color w:val="000000"/>
          <w:sz w:val="22"/>
          <w:szCs w:val="22"/>
        </w:rPr>
      </w:pPr>
      <w:r w:rsidRPr="007E4F42">
        <w:rPr>
          <w:rFonts w:ascii="Verdana" w:hAnsi="Verdana"/>
          <w:color w:val="000000"/>
          <w:sz w:val="22"/>
          <w:szCs w:val="22"/>
        </w:rPr>
        <w:pict w14:anchorId="2FF730B8">
          <v:rect id="_x0000_i1025" style="width:6in;height:1.5pt" o:hralign="center" o:hrstd="t" o:hrnoshade="t" o:hr="t" fillcolor="#930" stroked="f"/>
        </w:pict>
      </w:r>
    </w:p>
    <w:p w14:paraId="0E629DF5"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993300"/>
          <w:sz w:val="22"/>
          <w:szCs w:val="22"/>
        </w:rPr>
        <w:t>Note:  the consideration for the oral agreement to remove the ice-house was the same as the consideration for the sale of the property:  namely, the payment of the $8,400 cash and mortgage.  </w:t>
      </w:r>
    </w:p>
    <w:p w14:paraId="7852732D" w14:textId="77777777" w:rsidR="00102A70" w:rsidRPr="007E4F42" w:rsidRDefault="00102A70" w:rsidP="00102A70">
      <w:pPr>
        <w:jc w:val="center"/>
        <w:rPr>
          <w:rFonts w:ascii="Verdana" w:hAnsi="Verdana"/>
          <w:color w:val="000000"/>
          <w:sz w:val="22"/>
          <w:szCs w:val="22"/>
        </w:rPr>
      </w:pPr>
      <w:r w:rsidRPr="007E4F42">
        <w:rPr>
          <w:rFonts w:ascii="Verdana" w:hAnsi="Verdana"/>
          <w:color w:val="000000"/>
          <w:sz w:val="22"/>
          <w:szCs w:val="22"/>
        </w:rPr>
        <w:pict w14:anchorId="3914C575">
          <v:rect id="_x0000_i1026" style="width:6in;height:1.5pt" o:hralign="center" o:hrstd="t" o:hrnoshade="t" o:hr="t" fillcolor="#930" stroked="f"/>
        </w:pict>
      </w:r>
    </w:p>
    <w:p w14:paraId="0E1987E0"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047E600A"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The defendants have not fulfilled their promise as to the ice house and do not intend to do so. We are not dealing, however, with their moral delinquencies. The question before us is whether their oral agreement may be enforced in a court of equity. </w:t>
      </w:r>
    </w:p>
    <w:p w14:paraId="7F3713EE"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F04896B" w14:textId="77777777" w:rsidR="00102A70" w:rsidRPr="00DA2D1C" w:rsidRDefault="00102A70" w:rsidP="00102A70">
      <w:pPr>
        <w:pStyle w:val="NormalWeb"/>
        <w:spacing w:before="0" w:beforeAutospacing="0" w:after="0" w:afterAutospacing="0"/>
        <w:ind w:firstLine="720"/>
        <w:rPr>
          <w:rFonts w:ascii="Verdana" w:hAnsi="Verdana"/>
          <w:sz w:val="32"/>
          <w:szCs w:val="22"/>
        </w:rPr>
      </w:pPr>
      <w:r w:rsidRPr="007E4F42">
        <w:rPr>
          <w:rFonts w:ascii="Verdana" w:hAnsi="Verdana"/>
          <w:color w:val="000000"/>
          <w:sz w:val="22"/>
          <w:szCs w:val="22"/>
        </w:rPr>
        <w:t xml:space="preserve">This requires a discussion of 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evidence rule -- a rule of law which defines the limits of the contract to be construed. (</w:t>
      </w:r>
      <w:proofErr w:type="spellStart"/>
      <w:r w:rsidRPr="007E4F42">
        <w:rPr>
          <w:rFonts w:ascii="Verdana" w:hAnsi="Verdana"/>
          <w:color w:val="000000"/>
          <w:sz w:val="22"/>
          <w:szCs w:val="22"/>
        </w:rPr>
        <w:t>Glackin</w:t>
      </w:r>
      <w:proofErr w:type="spellEnd"/>
      <w:r w:rsidRPr="007E4F42">
        <w:rPr>
          <w:rFonts w:ascii="Verdana" w:hAnsi="Verdana"/>
          <w:color w:val="000000"/>
          <w:sz w:val="22"/>
          <w:szCs w:val="22"/>
        </w:rPr>
        <w:t xml:space="preserve"> v. Bennett, 226 Mass. 316.) It is more than a rule of evidence and oral testimony even if admitted will not control the written contract (O'Malley v. Grady, 222 Mass. 202), unless admitted without objection. (Brady v. Nally, 151 N.Y. 258.) </w:t>
      </w:r>
      <w:r w:rsidRPr="00DA2D1C">
        <w:rPr>
          <w:rFonts w:ascii="Verdana" w:hAnsi="Verdana"/>
          <w:color w:val="000000"/>
          <w:sz w:val="32"/>
          <w:szCs w:val="22"/>
        </w:rPr>
        <w:t xml:space="preserve">It applies, however, to attempts to modify such a contract by </w:t>
      </w:r>
      <w:proofErr w:type="spellStart"/>
      <w:r w:rsidRPr="00DA2D1C">
        <w:rPr>
          <w:rFonts w:ascii="Verdana" w:hAnsi="Verdana"/>
          <w:color w:val="000000"/>
          <w:sz w:val="32"/>
          <w:szCs w:val="22"/>
        </w:rPr>
        <w:t>parol</w:t>
      </w:r>
      <w:proofErr w:type="spellEnd"/>
      <w:r w:rsidRPr="00DA2D1C">
        <w:rPr>
          <w:rFonts w:ascii="Verdana" w:hAnsi="Verdana"/>
          <w:color w:val="000000"/>
          <w:sz w:val="32"/>
          <w:szCs w:val="22"/>
        </w:rPr>
        <w:t xml:space="preserve">. </w:t>
      </w:r>
      <w:r w:rsidRPr="00DA2D1C">
        <w:rPr>
          <w:rFonts w:ascii="Verdana" w:hAnsi="Verdana"/>
          <w:color w:val="000000"/>
          <w:sz w:val="28"/>
          <w:szCs w:val="22"/>
        </w:rPr>
        <w:t>It</w:t>
      </w:r>
      <w:r w:rsidRPr="00DA2D1C">
        <w:rPr>
          <w:rFonts w:ascii="Verdana" w:hAnsi="Verdana"/>
          <w:color w:val="000000"/>
          <w:sz w:val="40"/>
          <w:szCs w:val="22"/>
        </w:rPr>
        <w:t xml:space="preserve"> </w:t>
      </w:r>
      <w:r w:rsidRPr="00DA2D1C">
        <w:rPr>
          <w:rFonts w:ascii="Verdana" w:hAnsi="Verdana"/>
          <w:color w:val="000000"/>
          <w:sz w:val="28"/>
          <w:szCs w:val="22"/>
        </w:rPr>
        <w:t>d</w:t>
      </w:r>
      <w:r w:rsidRPr="00DA2D1C">
        <w:rPr>
          <w:rFonts w:ascii="Verdana" w:hAnsi="Verdana"/>
          <w:color w:val="000000"/>
          <w:sz w:val="32"/>
          <w:szCs w:val="22"/>
        </w:rPr>
        <w:t xml:space="preserve">oes not affect a </w:t>
      </w:r>
      <w:proofErr w:type="spellStart"/>
      <w:r w:rsidRPr="00DA2D1C">
        <w:rPr>
          <w:rFonts w:ascii="Verdana" w:hAnsi="Verdana"/>
          <w:color w:val="000000"/>
          <w:sz w:val="32"/>
          <w:szCs w:val="22"/>
        </w:rPr>
        <w:t>parol</w:t>
      </w:r>
      <w:proofErr w:type="spellEnd"/>
      <w:r w:rsidRPr="00DA2D1C">
        <w:rPr>
          <w:rFonts w:ascii="Verdana" w:hAnsi="Verdana"/>
          <w:color w:val="000000"/>
          <w:sz w:val="32"/>
          <w:szCs w:val="22"/>
        </w:rPr>
        <w:t xml:space="preserve"> collateral contract distinct from and independent of the written agreement. </w:t>
      </w:r>
    </w:p>
    <w:p w14:paraId="6C18C6BA"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0D8CCD54"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It is, at times, troublesome to draw the line. Williston, in his work on Contracts (sec. 637) points out the difficulty. "Two entirely distinct contracts," he says, "each for a separate consideration may be made at the same time and will be distinct legally. Where, however, one agreement is entered into wholly or partly in consideration of the simultaneous agreement to enter into another, the transactions are necessarily bound together. * * * Then if one of the agreements is oral and the other is written, the problem arises whether the bond is sufficiently close to prevent proof of the oral agreement."  That is the situation here. It is claimed that the defendants are called upon to do more than is required by their written contract in connection with the sale as to which it deals. </w:t>
      </w:r>
    </w:p>
    <w:p w14:paraId="6DADB773"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lastRenderedPageBreak/>
        <w:t> </w:t>
      </w:r>
    </w:p>
    <w:p w14:paraId="3C63AFDD"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principle may be clear, but it can be given effect by no mechanical rule. As so often happens, it is a matter of degree, for as Professor Williston also says where a contract contains several promises on each side it is not difficult to put any one of them in the form of a collateral agreement. If this were enough written contracts might always be modified by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Not form, but substance is the test.</w:t>
      </w:r>
    </w:p>
    <w:p w14:paraId="575E7924"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5E5A3B55"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DA2D1C">
        <w:rPr>
          <w:rFonts w:ascii="Verdana" w:hAnsi="Verdana"/>
          <w:color w:val="000000"/>
          <w:sz w:val="32"/>
          <w:szCs w:val="22"/>
        </w:rPr>
        <w:t xml:space="preserve">In applying this </w:t>
      </w:r>
      <w:proofErr w:type="gramStart"/>
      <w:r w:rsidRPr="00DA2D1C">
        <w:rPr>
          <w:rFonts w:ascii="Verdana" w:hAnsi="Verdana"/>
          <w:color w:val="000000"/>
          <w:sz w:val="32"/>
          <w:szCs w:val="22"/>
        </w:rPr>
        <w:t>test</w:t>
      </w:r>
      <w:proofErr w:type="gramEnd"/>
      <w:r w:rsidRPr="00DA2D1C">
        <w:rPr>
          <w:rFonts w:ascii="Verdana" w:hAnsi="Verdana"/>
          <w:color w:val="000000"/>
          <w:sz w:val="32"/>
          <w:szCs w:val="22"/>
        </w:rPr>
        <w:t xml:space="preserve"> the policy of our courts is to be considered. We have believed that the purpose behind the rule was a wise one not easily to be abandoned. Notwithstanding injustice here and there, on the whole it works for good. </w:t>
      </w:r>
      <w:r w:rsidRPr="007E4F42">
        <w:rPr>
          <w:rFonts w:ascii="Verdana" w:hAnsi="Verdana"/>
          <w:color w:val="000000"/>
          <w:sz w:val="22"/>
          <w:szCs w:val="22"/>
        </w:rPr>
        <w:t xml:space="preserve">Old precedents and principles are not to be lightly cast aside unless it is certain that they are an obstruction under present conditions. Under our decisions before such an oral agreement as the present is received to vary the written contract at least three conditions must exist, (1) the agreement must </w:t>
      </w:r>
      <w:proofErr w:type="spellStart"/>
      <w:r w:rsidRPr="007E4F42">
        <w:rPr>
          <w:rFonts w:ascii="Verdana" w:hAnsi="Verdana"/>
          <w:color w:val="000000"/>
          <w:sz w:val="22"/>
          <w:szCs w:val="22"/>
        </w:rPr>
        <w:t>in form</w:t>
      </w:r>
      <w:proofErr w:type="spellEnd"/>
      <w:r w:rsidRPr="007E4F42">
        <w:rPr>
          <w:rFonts w:ascii="Verdana" w:hAnsi="Verdana"/>
          <w:color w:val="000000"/>
          <w:sz w:val="22"/>
          <w:szCs w:val="22"/>
        </w:rPr>
        <w:t xml:space="preserve"> be a collateral one; (2) it must not contradict express or implied provisions of the written contract; (3) it must be one that parties would not ordinarily be expected to embody in the writing; or put in another way, an inspection of the written contract, read in the light of surrounding circumstances must not indicate that the writing appears "to contain the engagements of the parties, and to define the object and measure the extent of such engagement." Or again, it must not be so clearly connected with the principal transaction as to be part and parcel of it.</w:t>
      </w:r>
    </w:p>
    <w:p w14:paraId="46A3233D"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7B8BC28F"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        The respondent does not satisfy the third of these requirements. It may be, not the second. We have a written contract for the purchase and sale of land. The buyer is to pay $8,400 in the way described. She is also to pay her portion of any rents, interest on mortgages, insurance premiums and water meter charges. She may have a survey made of the premises. On their part the sellers are to give a full covenant deed of the premises as described, or as they may be described by the surveyor if the survey is had, executed and acknowledged at their own expense; they sell the personal property on the farm and represent they own it; they agree that all amounts paid them on the contract and the expense of examining the title shall be a lien on the property; they assume the risk of loss or damage by fire until the deed is delivered; and they agree to pay the broker his commissions. Are they to do more? Or is such a claim inconsistent with these precise provisions? It could not be shown that the plaintiff was to pay $500 additional. Is it also implied that the defendants are not to do anything unexpressed in the writing? </w:t>
      </w:r>
    </w:p>
    <w:p w14:paraId="3BB3DB44"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sz w:val="22"/>
          <w:szCs w:val="22"/>
        </w:rPr>
        <w:t> </w:t>
      </w:r>
    </w:p>
    <w:p w14:paraId="7DEF8828"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        That we need not decide. At least, however, an inspection of this contract shows a full and complete agreement, setting forth in detail the obligations of each party. On reading it one would conclude that the reciprocal obligations of the parties were fully detailed. </w:t>
      </w:r>
    </w:p>
    <w:p w14:paraId="6947592B"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7134C386"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Nor would his opinion alter if he knew the surrounding circumstances. The presence of the ice house, even the knowledge that Mrs. </w:t>
      </w:r>
      <w:proofErr w:type="spellStart"/>
      <w:r w:rsidRPr="007E4F42">
        <w:rPr>
          <w:rFonts w:ascii="Verdana" w:hAnsi="Verdana"/>
          <w:color w:val="000000"/>
          <w:sz w:val="22"/>
          <w:szCs w:val="22"/>
        </w:rPr>
        <w:t>Mitchill</w:t>
      </w:r>
      <w:proofErr w:type="spellEnd"/>
      <w:r w:rsidRPr="007E4F42">
        <w:rPr>
          <w:rFonts w:ascii="Verdana" w:hAnsi="Verdana"/>
          <w:color w:val="000000"/>
          <w:sz w:val="22"/>
          <w:szCs w:val="22"/>
        </w:rPr>
        <w:t xml:space="preserve"> thought it objectionable would not lead to the belief that a separate agreement existed with </w:t>
      </w:r>
      <w:r w:rsidRPr="007E4F42">
        <w:rPr>
          <w:rFonts w:ascii="Verdana" w:hAnsi="Verdana"/>
          <w:color w:val="000000"/>
          <w:sz w:val="22"/>
          <w:szCs w:val="22"/>
        </w:rPr>
        <w:lastRenderedPageBreak/>
        <w:t>regard to it. Were such an agreement made it would seem most natural that the inquirer should find it in the contract.  Collateral in form it is found to be, but it is closely related to the subject dealt with in the written agreement -- so closely that we hold it may not be proved.</w:t>
      </w:r>
    </w:p>
    <w:p w14:paraId="103DE405"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31613C81"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 .</w:t>
      </w:r>
    </w:p>
    <w:p w14:paraId="7A5AEC8A"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0D315582"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We do not ignore the fact that authorities may be found that would seem to support the contention of the appellant. Such are Erskine v. </w:t>
      </w:r>
      <w:proofErr w:type="spellStart"/>
      <w:r w:rsidRPr="007E4F42">
        <w:rPr>
          <w:rFonts w:ascii="Verdana" w:hAnsi="Verdana"/>
          <w:color w:val="000000"/>
          <w:sz w:val="22"/>
          <w:szCs w:val="22"/>
        </w:rPr>
        <w:t>Adeane</w:t>
      </w:r>
      <w:proofErr w:type="spellEnd"/>
      <w:r w:rsidRPr="007E4F42">
        <w:rPr>
          <w:rFonts w:ascii="Verdana" w:hAnsi="Verdana"/>
          <w:color w:val="000000"/>
          <w:sz w:val="22"/>
          <w:szCs w:val="22"/>
        </w:rPr>
        <w:t xml:space="preserve"> (L.R. 8 Ch. App. 756) and Morgan v. Griffith (L.R. 6 Exch. 70), where although there was a written lease a collateral agreement of the landlord to reduce the game was admitted. In this State Wilson v. </w:t>
      </w:r>
      <w:proofErr w:type="spellStart"/>
      <w:r w:rsidRPr="007E4F42">
        <w:rPr>
          <w:rFonts w:ascii="Verdana" w:hAnsi="Verdana"/>
          <w:color w:val="000000"/>
          <w:sz w:val="22"/>
          <w:szCs w:val="22"/>
        </w:rPr>
        <w:t>Deen</w:t>
      </w:r>
      <w:proofErr w:type="spellEnd"/>
      <w:r w:rsidRPr="007E4F42">
        <w:rPr>
          <w:rFonts w:ascii="Verdana" w:hAnsi="Verdana"/>
          <w:color w:val="000000"/>
          <w:sz w:val="22"/>
          <w:szCs w:val="22"/>
        </w:rPr>
        <w:t xml:space="preserve"> might lead to the contrary result. Neither are they approved in New Jersey (</w:t>
      </w:r>
      <w:proofErr w:type="spellStart"/>
      <w:r w:rsidRPr="007E4F42">
        <w:rPr>
          <w:rFonts w:ascii="Verdana" w:hAnsi="Verdana"/>
          <w:color w:val="000000"/>
          <w:sz w:val="22"/>
          <w:szCs w:val="22"/>
        </w:rPr>
        <w:t>Naumberg</w:t>
      </w:r>
      <w:proofErr w:type="spellEnd"/>
      <w:r w:rsidRPr="007E4F42">
        <w:rPr>
          <w:rFonts w:ascii="Verdana" w:hAnsi="Verdana"/>
          <w:color w:val="000000"/>
          <w:sz w:val="22"/>
          <w:szCs w:val="22"/>
        </w:rPr>
        <w:t xml:space="preserve"> v. Young, 15 Vroom, 331). Nor in view of later cases in this court can Batterman v. Pierce (3 Hill, 171) be considered an authority. A line of cases in Massachusetts, of which Durkin v. </w:t>
      </w:r>
      <w:proofErr w:type="spellStart"/>
      <w:r w:rsidRPr="007E4F42">
        <w:rPr>
          <w:rFonts w:ascii="Verdana" w:hAnsi="Verdana"/>
          <w:color w:val="000000"/>
          <w:sz w:val="22"/>
          <w:szCs w:val="22"/>
        </w:rPr>
        <w:t>Cobleigh</w:t>
      </w:r>
      <w:proofErr w:type="spellEnd"/>
      <w:r w:rsidRPr="007E4F42">
        <w:rPr>
          <w:rFonts w:ascii="Verdana" w:hAnsi="Verdana"/>
          <w:color w:val="000000"/>
          <w:sz w:val="22"/>
          <w:szCs w:val="22"/>
        </w:rPr>
        <w:t xml:space="preserve"> (156 Mass. 108) is an example, have to do with collateral contracts made before a deed is given. But the fixed form of a deed makes it inappropriate to insert collateral agreements, however closely connected with the sale. This may be cause for an exception. Here we deal with the contract on the basis of which the deed to Mrs. </w:t>
      </w:r>
      <w:proofErr w:type="spellStart"/>
      <w:r w:rsidRPr="007E4F42">
        <w:rPr>
          <w:rFonts w:ascii="Verdana" w:hAnsi="Verdana"/>
          <w:color w:val="000000"/>
          <w:sz w:val="22"/>
          <w:szCs w:val="22"/>
        </w:rPr>
        <w:t>Mitchill</w:t>
      </w:r>
      <w:proofErr w:type="spellEnd"/>
      <w:r w:rsidRPr="007E4F42">
        <w:rPr>
          <w:rFonts w:ascii="Verdana" w:hAnsi="Verdana"/>
          <w:color w:val="000000"/>
          <w:sz w:val="22"/>
          <w:szCs w:val="22"/>
        </w:rPr>
        <w:t xml:space="preserve"> was given subsequently, and we confine ourselves to the question whether its terms may be modified.</w:t>
      </w:r>
    </w:p>
    <w:p w14:paraId="38AA1AF1"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0D86AA9"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 . . </w:t>
      </w:r>
    </w:p>
    <w:p w14:paraId="3980D0CD"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1DD7289C"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It is argued that what we have said is not applicable to the case as presented. The collateral agreement was made with the plaintiff. The contract of sale was with her husband and no assignment of it from him appears. Yet the deed was given to her. It is evident that here was a transaction in which she was the principal from beginning to end. We must treat the contract as if in form, as it was in fact, made by her. </w:t>
      </w:r>
    </w:p>
    <w:p w14:paraId="623D9DDF"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Our conclusion is that the judgment of the Appellate Division and that of the Special Term should be reversed and the complaint dismissed, with costs in all courts.</w:t>
      </w:r>
    </w:p>
    <w:p w14:paraId="70DE4C80"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1B29B833"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Cardozo, Ch. J., Pound, Kellogg and </w:t>
      </w:r>
      <w:proofErr w:type="spellStart"/>
      <w:r w:rsidRPr="007E4F42">
        <w:rPr>
          <w:rFonts w:ascii="Verdana" w:hAnsi="Verdana"/>
          <w:color w:val="000000"/>
          <w:sz w:val="22"/>
          <w:szCs w:val="22"/>
        </w:rPr>
        <w:t>O'brien</w:t>
      </w:r>
      <w:proofErr w:type="spellEnd"/>
      <w:r w:rsidRPr="007E4F42">
        <w:rPr>
          <w:rFonts w:ascii="Verdana" w:hAnsi="Verdana"/>
          <w:color w:val="000000"/>
          <w:sz w:val="22"/>
          <w:szCs w:val="22"/>
        </w:rPr>
        <w:t xml:space="preserve">, JJ., concur With Andrews, J.; </w:t>
      </w:r>
    </w:p>
    <w:p w14:paraId="2A8C2D02"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5EA76D35"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Lehman, J., Dissents in opinion in which Crane, J., Concurs. </w:t>
      </w:r>
    </w:p>
    <w:p w14:paraId="58156F08"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Judgment Accordingly. </w:t>
      </w:r>
    </w:p>
    <w:p w14:paraId="49516B82"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53963FC1"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Lehman, J. (dissenting)</w:t>
      </w:r>
    </w:p>
    <w:p w14:paraId="4618ADAC"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3BCB822A"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I accept the general rule as formulated by Judge Andrews. I differ with him only as to its application to the facts shown in the record. The plaintiff contracted to purchase land from the defendants for an agreed price. A formal written agreement was made between the sellers and the plaintiff's husband. It is on its face a complete contract for the conveyance of the land. It describes the property to be conveyed. It sets forth the purchase price to be paid. All the conditions and terms of the conveyance to be made are clearly stated. I concede at the outset that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evidence to show additional conditions and terms of the conveyance would be </w:t>
      </w:r>
      <w:r w:rsidRPr="007E4F42">
        <w:rPr>
          <w:rFonts w:ascii="Verdana" w:hAnsi="Verdana"/>
          <w:color w:val="000000"/>
          <w:sz w:val="22"/>
          <w:szCs w:val="22"/>
        </w:rPr>
        <w:lastRenderedPageBreak/>
        <w:t xml:space="preserve">inadmissible. There is a conclusive presumption that the parties intended to integrate in that written contract every agreement relating to the nature or extent of the property to be conveyed, the contents of the deed to be delivered, the consideration to be paid as a condition precedent to the delivery of the deeds, and indeed all the rights of the parties in connection with the land. The conveyance of that land was the </w:t>
      </w:r>
      <w:proofErr w:type="spellStart"/>
      <w:r w:rsidRPr="007E4F42">
        <w:rPr>
          <w:rFonts w:ascii="Verdana" w:hAnsi="Verdana"/>
          <w:color w:val="000000"/>
          <w:sz w:val="22"/>
          <w:szCs w:val="22"/>
        </w:rPr>
        <w:t>subjectmatter</w:t>
      </w:r>
      <w:proofErr w:type="spellEnd"/>
      <w:r w:rsidRPr="007E4F42">
        <w:rPr>
          <w:rFonts w:ascii="Verdana" w:hAnsi="Verdana"/>
          <w:color w:val="000000"/>
          <w:sz w:val="22"/>
          <w:szCs w:val="22"/>
        </w:rPr>
        <w:t xml:space="preserve"> of the written contract and the contract completely covers that subject.</w:t>
      </w:r>
    </w:p>
    <w:p w14:paraId="094D6791"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98AE523"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which the court below found the parties had made was collateral to, yet connected with, the agreement of purchase and sale. It has been found that the defendants induced the plaintiff to agree to purchase the land by a promise to remove an ice house from land not covered by the agreement of purchase and sale. No independent consideration passed to the defendants for 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promise. To that extent the written contract and the alleged oral contract are bound together. The same bond usually exists wherever attempt is made to prove a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which is collateral to a written agreement. Hence "the problem arises whether the bond is sufficiently close to prevent proof of the oral agreement." </w:t>
      </w:r>
      <w:hyperlink r:id="rId4" w:anchor="519efabb" w:history="1">
        <w:r w:rsidRPr="007E4F42">
          <w:rPr>
            <w:rStyle w:val="Hyperlink"/>
            <w:rFonts w:ascii="Verdana" w:hAnsi="Verdana"/>
            <w:color w:val="000000"/>
            <w:sz w:val="22"/>
            <w:szCs w:val="22"/>
          </w:rPr>
          <w:t>See Judge Andrews' citation from Williston on Contracts, §637</w:t>
        </w:r>
      </w:hyperlink>
      <w:r w:rsidRPr="007E4F42">
        <w:rPr>
          <w:rFonts w:ascii="Verdana" w:hAnsi="Verdana"/>
          <w:color w:val="000000"/>
          <w:sz w:val="22"/>
          <w:szCs w:val="22"/>
        </w:rPr>
        <w:t xml:space="preserve">. </w:t>
      </w:r>
    </w:p>
    <w:p w14:paraId="60856A25"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79460626"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Judge Andrews has formulated a standard to measure the closeness of the bond. Three conditions, at least, must exist before an oral agreement may be proven to increase the obligation imposed by the written agreement. I think we agree that the first condition that the agreement "must </w:t>
      </w:r>
      <w:proofErr w:type="spellStart"/>
      <w:r w:rsidRPr="007E4F42">
        <w:rPr>
          <w:rFonts w:ascii="Verdana" w:hAnsi="Verdana"/>
          <w:color w:val="000000"/>
          <w:sz w:val="22"/>
          <w:szCs w:val="22"/>
        </w:rPr>
        <w:t>in form</w:t>
      </w:r>
      <w:proofErr w:type="spellEnd"/>
      <w:r w:rsidRPr="007E4F42">
        <w:rPr>
          <w:rFonts w:ascii="Verdana" w:hAnsi="Verdana"/>
          <w:color w:val="000000"/>
          <w:sz w:val="22"/>
          <w:szCs w:val="22"/>
        </w:rPr>
        <w:t xml:space="preserve"> be a collateral one" is met by the evidence. I concede that this condition is met in most cases where the courts have nevertheless excluded evidence of the collateral oral agreement. The difficulty here, as in most cases, arises in connection with the two other conditions.</w:t>
      </w:r>
    </w:p>
    <w:p w14:paraId="0E66D18D"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1981B783"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The second condition is that 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must not contradict express or implied provisions of the written contract." Judge Andrews voices doubt whether this condition is satisfied. The written contract has been carried out. The purchase price has been paid; conveyance has been </w:t>
      </w:r>
      <w:proofErr w:type="gramStart"/>
      <w:r w:rsidRPr="007E4F42">
        <w:rPr>
          <w:rFonts w:ascii="Verdana" w:hAnsi="Verdana"/>
          <w:color w:val="000000"/>
          <w:sz w:val="22"/>
          <w:szCs w:val="22"/>
        </w:rPr>
        <w:t>made,</w:t>
      </w:r>
      <w:proofErr w:type="gramEnd"/>
      <w:r w:rsidRPr="007E4F42">
        <w:rPr>
          <w:rFonts w:ascii="Verdana" w:hAnsi="Verdana"/>
          <w:color w:val="000000"/>
          <w:sz w:val="22"/>
          <w:szCs w:val="22"/>
        </w:rPr>
        <w:t xml:space="preserve"> title has passed in accordance with the terms of the written contract. The mutual obligations expressed in the written contract are left unchanged by the alleged oral contract. When performance was required of the written contract, the obligations of the parties were measured solely by its terms. By the oral agreement the plaintiff seeks to hold the defendants to other obligations to be performed by them thereafter upon land which was not conveyed to the plaintiff. The assertion of such further obligation is not inconsistent with the written contract unless the written contract contains a provision, express or implied, that the defendants are not to do anything not expressed in the writing. Concededly there is no such express provision in the contract, and such a provision may be implied, if at all, only if the asserted additional obligation is "so clearly connected with the principal transaction as to be part and parcel of it," and is not "one that the parties would not ordinarily be expected to embody in the writing." The hypothesis so formulated for a conclusion that the asserted additional obligation is inconsistent with an implied term of the contract is that the alleged oral agreement does not comply with the third condition </w:t>
      </w:r>
      <w:r w:rsidRPr="007E4F42">
        <w:rPr>
          <w:rFonts w:ascii="Verdana" w:hAnsi="Verdana"/>
          <w:color w:val="000000"/>
          <w:sz w:val="22"/>
          <w:szCs w:val="22"/>
        </w:rPr>
        <w:lastRenderedPageBreak/>
        <w:t xml:space="preserve">as formulated by Judge Andrews. In this case, therefore, the problem reduces itself to the one question whether or not the oral agreement meets the third condition. </w:t>
      </w:r>
    </w:p>
    <w:p w14:paraId="2069D34A"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I have conceded that upon inspection the contract is complete." It appears to contain the engagements of the parties, and to define the object and measure the extent of such engagement;" it constitutes the contract between them and is presumed to contain the whole of that contract. (</w:t>
      </w:r>
      <w:proofErr w:type="spellStart"/>
      <w:r w:rsidRPr="007E4F42">
        <w:rPr>
          <w:rFonts w:ascii="Verdana" w:hAnsi="Verdana"/>
          <w:color w:val="000000"/>
          <w:sz w:val="22"/>
          <w:szCs w:val="22"/>
        </w:rPr>
        <w:t>Eighmie</w:t>
      </w:r>
      <w:proofErr w:type="spellEnd"/>
      <w:r w:rsidRPr="007E4F42">
        <w:rPr>
          <w:rFonts w:ascii="Verdana" w:hAnsi="Verdana"/>
          <w:color w:val="000000"/>
          <w:sz w:val="22"/>
          <w:szCs w:val="22"/>
        </w:rPr>
        <w:t xml:space="preserve"> v. Taylor, 98 N.Y. 288.) That engagement was on the one side to convey land; on the other to pay the price. The plaintiff asserts further agreement based on the same consideration to be performed by the defendants after the conveyance was complete, and directly affecting only other land. It is true, as Judge Andrews points out, that "the presence of the ice house, even the knowledge that Mrs. </w:t>
      </w:r>
      <w:proofErr w:type="spellStart"/>
      <w:r w:rsidRPr="007E4F42">
        <w:rPr>
          <w:rFonts w:ascii="Verdana" w:hAnsi="Verdana"/>
          <w:color w:val="000000"/>
          <w:sz w:val="22"/>
          <w:szCs w:val="22"/>
        </w:rPr>
        <w:t>Mitchill</w:t>
      </w:r>
      <w:proofErr w:type="spellEnd"/>
      <w:r w:rsidRPr="007E4F42">
        <w:rPr>
          <w:rFonts w:ascii="Verdana" w:hAnsi="Verdana"/>
          <w:color w:val="000000"/>
          <w:sz w:val="22"/>
          <w:szCs w:val="22"/>
        </w:rPr>
        <w:t xml:space="preserve"> thought it objectionable, would not lead to the belief that a separate agreement existed with regard to it;" but the question we must decide is whether or not, assuming an agreement was made for the removal of an unsightly ice house from one parcel of land as an inducement for the purchase of another parcel, the parties would ordinarily or naturally be expected to embody the agreement for the removal of the ice house from one parcel in the written agreement to convey the other parcel. Exclusion of proof of the oral agreement on the ground that it varies the contract embodied in the writing may be based only upon a finding or presumption that the written contract was intended to cover the oral negotiations for the removal of the ice house which lead up to the contract of purchase and sale. To determine what the writing was intended to cover "the document alone will not suffice. What it was intended to cover cannot be known till we know what there was to cover. The question being whether certain subjects of negotiation were intended to be covered, we must compare the writing and the negotiations before we can determine whether they were in fact covered." (</w:t>
      </w:r>
      <w:proofErr w:type="spellStart"/>
      <w:r w:rsidRPr="007E4F42">
        <w:rPr>
          <w:rFonts w:ascii="Verdana" w:hAnsi="Verdana"/>
          <w:color w:val="000000"/>
          <w:sz w:val="22"/>
          <w:szCs w:val="22"/>
        </w:rPr>
        <w:t>Wigmore</w:t>
      </w:r>
      <w:proofErr w:type="spellEnd"/>
      <w:r w:rsidRPr="007E4F42">
        <w:rPr>
          <w:rFonts w:ascii="Verdana" w:hAnsi="Verdana"/>
          <w:color w:val="000000"/>
          <w:sz w:val="22"/>
          <w:szCs w:val="22"/>
        </w:rPr>
        <w:t xml:space="preserve"> on Evidence [2d ed.], §2430.)</w:t>
      </w:r>
    </w:p>
    <w:p w14:paraId="16DB884A"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w:t>
      </w:r>
    </w:p>
    <w:p w14:paraId="7F084084"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subject-matter of the written contract was the conveyance of land. The contract was so complete on its face that the conclusion is inevitable that the parties intended to embody in the writing all the negotiations covering at least the conveyance. The promise by the defendants to remove the ice house from other land was not connected with their obligation to convey, except that one agreement would not have been made unless the other was also made. The plaintiff's assertion of a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by the defendants to remove the ice house was completely established by the great weight of evidence. It must prevail unless that agreement was part of the agreement to convey and the entire agreement was embodied in the writing.</w:t>
      </w:r>
    </w:p>
    <w:p w14:paraId="7AA00CA6"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69123084"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fact that in this case 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is established by the overwhelming weight of evidence is, of course, not a factor which may be considered in determining the competency or legal effect of the evidence. Hardship in the particular case would not justify the court in disregarding or emasculating the general rule. It merely accentuates the outlines of our problem. The assumption that the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was made is no longer obscured by any doubts. The problem then is clearly whether the parties are presumed to have intended to render that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legally ineffective and non-existent by failure to embody it in the writing. Though we are driven to say that nothing in the written contract which fixed the terms and conditions of the stipulated conveyance </w:t>
      </w:r>
      <w:r w:rsidRPr="007E4F42">
        <w:rPr>
          <w:rFonts w:ascii="Verdana" w:hAnsi="Verdana"/>
          <w:color w:val="000000"/>
          <w:sz w:val="22"/>
          <w:szCs w:val="22"/>
        </w:rPr>
        <w:lastRenderedPageBreak/>
        <w:t xml:space="preserve">suggests the existence of any further </w:t>
      </w:r>
      <w:proofErr w:type="spellStart"/>
      <w:r w:rsidRPr="007E4F42">
        <w:rPr>
          <w:rFonts w:ascii="Verdana" w:hAnsi="Verdana"/>
          <w:color w:val="000000"/>
          <w:sz w:val="22"/>
          <w:szCs w:val="22"/>
        </w:rPr>
        <w:t>parol</w:t>
      </w:r>
      <w:proofErr w:type="spellEnd"/>
      <w:r w:rsidRPr="007E4F42">
        <w:rPr>
          <w:rFonts w:ascii="Verdana" w:hAnsi="Verdana"/>
          <w:color w:val="000000"/>
          <w:sz w:val="22"/>
          <w:szCs w:val="22"/>
        </w:rPr>
        <w:t xml:space="preserve"> agreement, an inspection of the contract, though it is complete on its face in regard to the subject of the conveyance, does not, I think, show that it was intended to embody negotiations or agreements, if any, in regard to a matter so loosely bound to the conveyance as the removal of an ice house from land not conveyed.</w:t>
      </w:r>
    </w:p>
    <w:p w14:paraId="79DC2DAA"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w:t>
      </w:r>
    </w:p>
    <w:p w14:paraId="0ED0BA50" w14:textId="77777777" w:rsidR="00102A70" w:rsidRPr="007E4F42" w:rsidRDefault="00102A70" w:rsidP="00102A70">
      <w:pPr>
        <w:pStyle w:val="NormalWeb"/>
        <w:spacing w:before="0" w:beforeAutospacing="0" w:after="0" w:afterAutospacing="0"/>
        <w:ind w:firstLine="720"/>
        <w:rPr>
          <w:rFonts w:ascii="Verdana" w:hAnsi="Verdana"/>
          <w:sz w:val="22"/>
          <w:szCs w:val="22"/>
        </w:rPr>
      </w:pPr>
      <w:r w:rsidRPr="007E4F42">
        <w:rPr>
          <w:rFonts w:ascii="Verdana" w:hAnsi="Verdana"/>
          <w:color w:val="000000"/>
          <w:sz w:val="22"/>
          <w:szCs w:val="22"/>
        </w:rPr>
        <w:t xml:space="preserve">The rule of integration undoubtedly frequently prevents the assertion of fraudulent claims. Parties who take the precaution of embodying their oral agreements in a writing should be protected against the assertion that other terms of the same agreement were not integrated in the writing. The limits of the integration are determined by the writing, read in the light of the surrounding circumstances. A written contract, however complete, yet covers only a limited field. I do not think that in the written contract for the conveyance of land here under consideration we can find an intention to cover a field so broad as to include prior agreements, if any such were made, to do other acts on other property after the stipulated conveyance was made. </w:t>
      </w:r>
    </w:p>
    <w:p w14:paraId="788843BC" w14:textId="77777777" w:rsidR="00102A70" w:rsidRPr="007E4F42" w:rsidRDefault="00102A70" w:rsidP="00102A70">
      <w:pPr>
        <w:pStyle w:val="NormalWeb"/>
        <w:spacing w:before="0" w:beforeAutospacing="0" w:after="0" w:afterAutospacing="0"/>
        <w:rPr>
          <w:rFonts w:ascii="Verdana" w:hAnsi="Verdana"/>
          <w:sz w:val="22"/>
          <w:szCs w:val="22"/>
        </w:rPr>
      </w:pPr>
      <w:r w:rsidRPr="007E4F42">
        <w:rPr>
          <w:rFonts w:ascii="Verdana" w:hAnsi="Verdana"/>
          <w:color w:val="000000"/>
          <w:sz w:val="22"/>
          <w:szCs w:val="22"/>
        </w:rPr>
        <w:t xml:space="preserve">In each case where such a problem is presented, varying factors enter into its solution. Citation of authority in this or other jurisdictions is useless, at least without minute analysis of the facts. The analysis I have made of the decisions in this State leads me to the view that the decision of the courts below is in accordance with our own authorities and should be affirmed. </w:t>
      </w:r>
    </w:p>
    <w:p w14:paraId="4A9457FE"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70"/>
    <w:rsid w:val="00102A70"/>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9522"/>
  <w15:chartTrackingRefBased/>
  <w15:docId w15:val="{3DD47ED1-2B70-4971-B07B-A45BE510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70"/>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2A70"/>
    <w:rPr>
      <w:strike w:val="0"/>
      <w:dstrike w:val="0"/>
      <w:color w:val="0000FF"/>
      <w:u w:val="none"/>
      <w:effect w:val="none"/>
    </w:rPr>
  </w:style>
  <w:style w:type="paragraph" w:styleId="NormalWeb">
    <w:name w:val="Normal (Web)"/>
    <w:basedOn w:val="Normal"/>
    <w:rsid w:val="00102A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tract_LawMitchill_v_La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2020-11-06T00:36:00Z</dcterms:created>
  <dcterms:modified xsi:type="dcterms:W3CDTF">2020-11-06T00:37:00Z</dcterms:modified>
</cp:coreProperties>
</file>