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35146" w14:textId="77777777" w:rsidR="00602656" w:rsidRPr="007E4F42" w:rsidRDefault="00602656" w:rsidP="00602656">
      <w:pPr>
        <w:jc w:val="center"/>
        <w:outlineLvl w:val="0"/>
        <w:rPr>
          <w:rFonts w:ascii="Verdana" w:hAnsi="Verdana"/>
          <w:sz w:val="22"/>
          <w:szCs w:val="22"/>
        </w:rPr>
      </w:pPr>
      <w:bookmarkStart w:id="0" w:name="_Toc47107394"/>
      <w:r w:rsidRPr="007E4F42">
        <w:rPr>
          <w:rFonts w:ascii="Verdana" w:hAnsi="Verdana"/>
          <w:color w:val="000000"/>
          <w:sz w:val="22"/>
          <w:szCs w:val="22"/>
        </w:rPr>
        <w:t>Wood v. Boynton</w:t>
      </w:r>
      <w:bookmarkEnd w:id="0"/>
    </w:p>
    <w:p w14:paraId="4E11D32E" w14:textId="77777777" w:rsidR="00602656" w:rsidRPr="007E4F42" w:rsidRDefault="00602656" w:rsidP="00602656">
      <w:pPr>
        <w:jc w:val="center"/>
        <w:rPr>
          <w:rFonts w:ascii="Verdana" w:hAnsi="Verdana"/>
          <w:sz w:val="22"/>
          <w:szCs w:val="22"/>
        </w:rPr>
      </w:pPr>
      <w:r w:rsidRPr="007E4F42">
        <w:rPr>
          <w:rFonts w:ascii="Verdana" w:hAnsi="Verdana"/>
          <w:color w:val="000000"/>
          <w:sz w:val="22"/>
          <w:szCs w:val="22"/>
        </w:rPr>
        <w:br/>
        <w:t>25 N.W. 42 (Wis. 1885)</w:t>
      </w:r>
    </w:p>
    <w:p w14:paraId="1CDF6301" w14:textId="77777777" w:rsidR="00602656" w:rsidRPr="007E4F42" w:rsidRDefault="00602656" w:rsidP="00602656">
      <w:pPr>
        <w:pStyle w:val="NormalWeb"/>
        <w:rPr>
          <w:rFonts w:ascii="Verdana" w:hAnsi="Verdana"/>
          <w:sz w:val="22"/>
          <w:szCs w:val="22"/>
        </w:rPr>
      </w:pPr>
      <w:r w:rsidRPr="007E4F42">
        <w:rPr>
          <w:rFonts w:ascii="Verdana" w:hAnsi="Verdana"/>
          <w:color w:val="000000"/>
          <w:sz w:val="22"/>
          <w:szCs w:val="22"/>
        </w:rPr>
        <w:t>Taylor, J.  </w:t>
      </w:r>
    </w:p>
    <w:p w14:paraId="40E5E84B"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This action was brought in the circuit court for Milwaukee county to recover the possession of an uncut diamond of the alleged value of $1,000. The case was tried in the circuit court and, after hearing all the evidence in the case, the learned circuit judge directed the jury to find a verdict for the defendants. The plaintiff excepted to such instruction, and, after a verdict was rendered for the defendants, moved for a new trial upon the minutes of the judge. The motion was denied, and the plaintiff duly excepted, and, after judgment was entered in favor of the defendants, appealed to this court. </w:t>
      </w:r>
    </w:p>
    <w:p w14:paraId="4F0D514C"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The defendants are partners in the jewelry business. On the trial it appeared that on and before the 28th of December, 1883, the plaintiff was the owner of and in the possession of a small stone of the nature and value of which she was ignorant; that on that day she sold it to one of the defendants for the sum of one dollar. Afterwards it was ascertained that the stone was a rough diamond, and of the value of about $700. After learning this </w:t>
      </w:r>
      <w:proofErr w:type="gramStart"/>
      <w:r w:rsidRPr="007E4F42">
        <w:rPr>
          <w:rFonts w:ascii="Verdana" w:hAnsi="Verdana"/>
          <w:sz w:val="22"/>
          <w:szCs w:val="22"/>
        </w:rPr>
        <w:t>fact</w:t>
      </w:r>
      <w:proofErr w:type="gramEnd"/>
      <w:r w:rsidRPr="007E4F42">
        <w:rPr>
          <w:rFonts w:ascii="Verdana" w:hAnsi="Verdana"/>
          <w:sz w:val="22"/>
          <w:szCs w:val="22"/>
        </w:rPr>
        <w:t xml:space="preserve"> the plaintiff tendered the defendants the one dollar, and ten cents as interest, and demanded a return of the stone to her. The defendants refused to deliver it, and therefore she commenced this action.  </w:t>
      </w:r>
    </w:p>
    <w:p w14:paraId="4CF4B876"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The plaintiff testified to the circumstances attending the sale of the stone to Mr. Samuel B. Boynton, as follows: "The first time Boynton saw that stone he was talking about buying the topaz, or whatever it is, in September or October. I went into his store to get a little pin mended, and I had it in a small box, --the pin, -- a small earring; . . . this stone, and a broken sleeve-button were in the box. Mr. Boynton turned to give me a check for my pin. I thought I would ask him what the stone was, and I took it out of the box and asked him to please tell me what that was. He took it in his hand and spent some time looking at it. I told him I had been told it was a topaz, and he said it might be. He says, 'I would buy this; would you sell it?" I told him I did not know but what I would. What would it be worth? And he said he did not know; he would give me a dollar and keep it as a specimen, and I told him I would not sell it; and it was certainly pretty to look at. He asked me where I found it, and I told him in Eagle. He asked about how far out, and I said right in the village, and I went out. Afterwards, and about the 28th of December, I needed money pretty badly, and thought every dollar would help, and I took it back to Mr. Boynton and told him I had brought back the topaz and he says "Well, yes; what did I offer you for it?," and I says, "One dollar"; and he stepped to the change drawer and gave me the dollar, and I went out. </w:t>
      </w:r>
    </w:p>
    <w:p w14:paraId="63555743"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In another part of her testimony she says: "Before I sold the </w:t>
      </w:r>
      <w:proofErr w:type="gramStart"/>
      <w:r w:rsidRPr="007E4F42">
        <w:rPr>
          <w:rFonts w:ascii="Verdana" w:hAnsi="Verdana"/>
          <w:sz w:val="22"/>
          <w:szCs w:val="22"/>
        </w:rPr>
        <w:t>stone</w:t>
      </w:r>
      <w:proofErr w:type="gramEnd"/>
      <w:r w:rsidRPr="007E4F42">
        <w:rPr>
          <w:rFonts w:ascii="Verdana" w:hAnsi="Verdana"/>
          <w:sz w:val="22"/>
          <w:szCs w:val="22"/>
        </w:rPr>
        <w:t xml:space="preserve"> I had no knowledge whatever that it was a diamond. I told him that I had been advised that it was probably a topaz, and he said probably it was. The stone was about the size of a canary bird's egg, nearly the shape of an egg, -- worn pointed at one end; it </w:t>
      </w:r>
      <w:r w:rsidRPr="007E4F42">
        <w:rPr>
          <w:rFonts w:ascii="Verdana" w:hAnsi="Verdana"/>
          <w:sz w:val="22"/>
          <w:szCs w:val="22"/>
        </w:rPr>
        <w:lastRenderedPageBreak/>
        <w:t xml:space="preserve">was nearly straw color, -- a little darker." She also testified that before this action was </w:t>
      </w:r>
      <w:proofErr w:type="gramStart"/>
      <w:r w:rsidRPr="007E4F42">
        <w:rPr>
          <w:rFonts w:ascii="Verdana" w:hAnsi="Verdana"/>
          <w:sz w:val="22"/>
          <w:szCs w:val="22"/>
        </w:rPr>
        <w:t>commenced</w:t>
      </w:r>
      <w:proofErr w:type="gramEnd"/>
      <w:r w:rsidRPr="007E4F42">
        <w:rPr>
          <w:rFonts w:ascii="Verdana" w:hAnsi="Verdana"/>
          <w:sz w:val="22"/>
          <w:szCs w:val="22"/>
        </w:rPr>
        <w:t xml:space="preserve"> she tendered the defendants $1.10, and demanded the return of the stone, which they refused. This is substantially all the evidence of what took place at and before the sale to the defendants, as testified to by the plaintiff herself. She produced no other witness on that point.  </w:t>
      </w:r>
    </w:p>
    <w:p w14:paraId="5C01A1B8"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The evidence on the part of the defendant is not very different from the version given by the plaintiff, and certainly is not more favorable to the plaintiff. Mr. Samuel B. Boynton, the defendant to whom the stone was sold, testified that at the time he bought this stone, he had never seen an uncut diamond; had seen cut diamonds, but they are quite different from the uncut ones; "he had no ideas this was a diamond, and it never entered his brain at the time." Considerable evidence was given as to what took place after the sale and purchase, but that evidence has very little if any bearing upon the main point in the case.  </w:t>
      </w:r>
    </w:p>
    <w:p w14:paraId="45A5FDC3"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This evidence clearly shows that the plaintiff sold the stone in question to the defendants, and delivered it to them in December, 1883, for a consideration of one dollar</w:t>
      </w:r>
      <w:proofErr w:type="gramStart"/>
      <w:r w:rsidRPr="007E4F42">
        <w:rPr>
          <w:rFonts w:ascii="Verdana" w:hAnsi="Verdana"/>
          <w:sz w:val="22"/>
          <w:szCs w:val="22"/>
        </w:rPr>
        <w:t>. . . .</w:t>
      </w:r>
      <w:proofErr w:type="gramEnd"/>
      <w:r w:rsidRPr="007E4F42">
        <w:rPr>
          <w:rFonts w:ascii="Verdana" w:hAnsi="Verdana"/>
          <w:sz w:val="22"/>
          <w:szCs w:val="22"/>
        </w:rPr>
        <w:t xml:space="preserve"> </w:t>
      </w:r>
    </w:p>
    <w:p w14:paraId="0C050D97"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The only question in the case is whether there was anything in the sale which entitled the vendor (the appellant) to rescind the sale and so revest the title in her. The only reasons we know of for rescinding a sale and revesting the title in the vendor so that he may maintain an action at law for the recovery of the possession against his vendee are (1) that the vendee was guilty of some fraud in procuring a sale to be made to him; (2) that there was a mistake made by the vendor in delivering an article which was not the article sold, -- a mistake in fact as to the </w:t>
      </w:r>
      <w:proofErr w:type="spellStart"/>
      <w:r w:rsidRPr="007E4F42">
        <w:rPr>
          <w:rFonts w:ascii="Verdana" w:hAnsi="Verdana"/>
          <w:sz w:val="22"/>
          <w:szCs w:val="22"/>
        </w:rPr>
        <w:t>identify</w:t>
      </w:r>
      <w:proofErr w:type="spellEnd"/>
      <w:r w:rsidRPr="007E4F42">
        <w:rPr>
          <w:rFonts w:ascii="Verdana" w:hAnsi="Verdana"/>
          <w:sz w:val="22"/>
          <w:szCs w:val="22"/>
        </w:rPr>
        <w:t xml:space="preserve"> of the thing sold with the thing delivered upon the sale. This last is not in reality a rescission of the sale made, as the thing delivered was not the thing sold, and no title ever passed to the vendee by such delivery. </w:t>
      </w:r>
    </w:p>
    <w:p w14:paraId="38E714FA" w14:textId="77777777" w:rsidR="00602656" w:rsidRPr="007E4F42" w:rsidRDefault="00602656" w:rsidP="00602656">
      <w:pPr>
        <w:pStyle w:val="NormalWeb"/>
        <w:spacing w:before="0" w:beforeAutospacing="0" w:after="0" w:afterAutospacing="0"/>
        <w:ind w:firstLine="720"/>
        <w:rPr>
          <w:rFonts w:ascii="Verdana" w:hAnsi="Verdana"/>
          <w:sz w:val="22"/>
          <w:szCs w:val="22"/>
        </w:rPr>
      </w:pPr>
      <w:r w:rsidRPr="007E4F42">
        <w:rPr>
          <w:rFonts w:ascii="Verdana" w:hAnsi="Verdana"/>
          <w:sz w:val="22"/>
          <w:szCs w:val="22"/>
        </w:rPr>
        <w:t xml:space="preserve">In this case, upon the plaintiff's own evidence, there can be no just ground for alleging that she was induced to make the sale she did by any fraud or unfair dealings on the part of Mr. Boynton. Both were entirely ignorant at the time of the character of the stone and of its intrinsic value. Mr. Boynton was not an expert in uncut diamonds, and had made no examination of the stone, except to take it in his hand and look at it before he made the offer of one dollar, which was refused at the time, and afterwards accepted without any comment or further examination made by Mr. Boynton. The appellant had the stone in her possession for a long time, and it appears from her own statement that she had made some inquiry as to its nature and qualities. If she chose to sell it without further investigation as to its intrinsic value to a person who was guilty of no fraud or unfairness which induced her to sell it for a small sum, she cannot repudiate the sale because it is afterwards ascertained that she made a bad bargain. </w:t>
      </w:r>
    </w:p>
    <w:p w14:paraId="141C7A5D" w14:textId="77777777" w:rsidR="00602656" w:rsidRPr="007E4F42" w:rsidRDefault="00602656" w:rsidP="00602656">
      <w:pPr>
        <w:pStyle w:val="NormalWeb"/>
        <w:spacing w:before="0" w:beforeAutospacing="0" w:after="0" w:afterAutospacing="0"/>
        <w:rPr>
          <w:rFonts w:ascii="Verdana" w:hAnsi="Verdana"/>
          <w:sz w:val="22"/>
          <w:szCs w:val="22"/>
        </w:rPr>
      </w:pPr>
      <w:r w:rsidRPr="007E4F42">
        <w:rPr>
          <w:rFonts w:ascii="Verdana" w:hAnsi="Verdana"/>
          <w:sz w:val="22"/>
          <w:szCs w:val="22"/>
        </w:rPr>
        <w:t> </w:t>
      </w:r>
    </w:p>
    <w:p w14:paraId="238EF676" w14:textId="77777777" w:rsidR="00602656" w:rsidRPr="007E4F42" w:rsidRDefault="00602656" w:rsidP="00602656">
      <w:pPr>
        <w:pStyle w:val="NormalWeb"/>
        <w:spacing w:before="0" w:beforeAutospacing="0" w:after="0" w:afterAutospacing="0"/>
        <w:ind w:firstLine="720"/>
        <w:rPr>
          <w:rFonts w:ascii="Verdana" w:hAnsi="Verdana"/>
          <w:sz w:val="22"/>
          <w:szCs w:val="22"/>
        </w:rPr>
      </w:pPr>
      <w:r w:rsidRPr="007E4F42">
        <w:rPr>
          <w:rFonts w:ascii="Verdana" w:hAnsi="Verdana"/>
          <w:sz w:val="22"/>
          <w:szCs w:val="22"/>
        </w:rPr>
        <w:t>There is no pretense of any mistake as to the identity of the thing sold. It was produced by the plaintiff and exhibited to the vendee before the sale was made, and the thing sold was delivered to the vendee when the purchase price was paid</w:t>
      </w:r>
      <w:proofErr w:type="gramStart"/>
      <w:r w:rsidRPr="007E4F42">
        <w:rPr>
          <w:rFonts w:ascii="Verdana" w:hAnsi="Verdana"/>
          <w:sz w:val="22"/>
          <w:szCs w:val="22"/>
        </w:rPr>
        <w:t>. . . .</w:t>
      </w:r>
      <w:proofErr w:type="gramEnd"/>
      <w:r w:rsidRPr="007E4F42">
        <w:rPr>
          <w:rFonts w:ascii="Verdana" w:hAnsi="Verdana"/>
          <w:sz w:val="22"/>
          <w:szCs w:val="22"/>
        </w:rPr>
        <w:t xml:space="preserve"> Suppose the appellant had produced the stone, and said she had been </w:t>
      </w:r>
      <w:r w:rsidRPr="007E4F42">
        <w:rPr>
          <w:rFonts w:ascii="Verdana" w:hAnsi="Verdana"/>
          <w:sz w:val="22"/>
          <w:szCs w:val="22"/>
        </w:rPr>
        <w:lastRenderedPageBreak/>
        <w:t xml:space="preserve">told that it was a diamond, and she believed it was, but had no knowledge herself as to its character or value, and Mr. Boynton had given her $500 for it, could he have rescinded the sale on the ground of mistake? Clearly not, nor could he rescind it on the ground that there had been a breach of warranty, because there was no warranty, nor could he rescind it on the ground of fraud, unless he could show that she falsely declared that she had been told it was a diamond, or, if she had been so told, still she knew it was not a diamond. </w:t>
      </w:r>
    </w:p>
    <w:p w14:paraId="3E91DAF1"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 .</w:t>
      </w:r>
    </w:p>
    <w:p w14:paraId="7C8933BA"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When this sale was made the value of the thing sold was open to the investigation of both parties, neither knew its intrinsic value, and, so far as the evidence in this case shows, both supposed that the price paid was adequate. How can fraud be predicated upon such a sale, even though after investigation showed that the intrinsic value of the thing sold was hundreds of times greater than the price paid? It certainly shows no such fraud as would authorize the vendor to rescind the contract and bring an action at law to recover the possession of the thing sold </w:t>
      </w:r>
      <w:proofErr w:type="gramStart"/>
      <w:r w:rsidRPr="007E4F42">
        <w:rPr>
          <w:rFonts w:ascii="Verdana" w:hAnsi="Verdana"/>
          <w:sz w:val="22"/>
          <w:szCs w:val="22"/>
        </w:rPr>
        <w:t>. . . .</w:t>
      </w:r>
      <w:proofErr w:type="gramEnd"/>
      <w:r w:rsidRPr="007E4F42">
        <w:rPr>
          <w:rFonts w:ascii="Verdana" w:hAnsi="Verdana"/>
          <w:sz w:val="22"/>
          <w:szCs w:val="22"/>
        </w:rPr>
        <w:t xml:space="preserve"> </w:t>
      </w:r>
    </w:p>
    <w:p w14:paraId="36926127"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We can find nothing in the evidence from which it could be justly inferred that Mr. Boynton, at the time he offered the plaintiff one dollar for the stone, had any knowledge of the real value of the stone, or that he entertained even a belief that the stone was a diamond. It cannot, therefore, be said that there was a suppression of knowledge on the part of the defendant as to the value of the stone which a court of equity might seize upon to avoid the sale</w:t>
      </w:r>
      <w:proofErr w:type="gramStart"/>
      <w:r w:rsidRPr="007E4F42">
        <w:rPr>
          <w:rFonts w:ascii="Verdana" w:hAnsi="Verdana"/>
          <w:sz w:val="22"/>
          <w:szCs w:val="22"/>
        </w:rPr>
        <w:t>. . . .</w:t>
      </w:r>
      <w:proofErr w:type="gramEnd"/>
      <w:r w:rsidRPr="007E4F42">
        <w:rPr>
          <w:rFonts w:ascii="Verdana" w:hAnsi="Verdana"/>
          <w:sz w:val="22"/>
          <w:szCs w:val="22"/>
        </w:rPr>
        <w:t xml:space="preserve"> </w:t>
      </w:r>
    </w:p>
    <w:p w14:paraId="28A5F54D"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However unfortunate the plaintiff may have been in selling this valuable stone for a mere nominal sum, she has failed entirely to make out a case either of fraud or mistake in the sale such as will entitle her to a rescission of such sale so as to recover the property sold in an action at law. </w:t>
      </w:r>
    </w:p>
    <w:p w14:paraId="01C0668A"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By the Court -- The judgment of the circuit court is affirmed. </w:t>
      </w:r>
    </w:p>
    <w:p w14:paraId="4D2A6E42" w14:textId="77777777" w:rsidR="00602656" w:rsidRPr="007E4F42" w:rsidRDefault="00602656" w:rsidP="00602656">
      <w:pPr>
        <w:rPr>
          <w:rFonts w:ascii="Verdana" w:hAnsi="Verdana"/>
          <w:sz w:val="22"/>
          <w:szCs w:val="22"/>
        </w:rPr>
      </w:pPr>
      <w:r w:rsidRPr="007E4F42">
        <w:rPr>
          <w:rFonts w:ascii="Verdana" w:hAnsi="Verdana"/>
          <w:sz w:val="22"/>
          <w:szCs w:val="22"/>
        </w:rPr>
        <w:t> </w:t>
      </w:r>
    </w:p>
    <w:p w14:paraId="6FD4C7AC" w14:textId="77777777" w:rsidR="00602656" w:rsidRPr="007E4F42" w:rsidRDefault="00602656" w:rsidP="00602656">
      <w:pPr>
        <w:jc w:val="center"/>
        <w:outlineLvl w:val="0"/>
        <w:rPr>
          <w:rFonts w:ascii="Verdana" w:hAnsi="Verdana"/>
          <w:sz w:val="22"/>
          <w:szCs w:val="22"/>
        </w:rPr>
      </w:pPr>
      <w:bookmarkStart w:id="1" w:name="_Toc47107395"/>
      <w:r w:rsidRPr="007E4F42">
        <w:rPr>
          <w:rFonts w:ascii="Verdana" w:hAnsi="Verdana"/>
          <w:color w:val="000000"/>
          <w:sz w:val="22"/>
          <w:szCs w:val="22"/>
        </w:rPr>
        <w:t xml:space="preserve">Raffles v. </w:t>
      </w:r>
      <w:proofErr w:type="spellStart"/>
      <w:r w:rsidRPr="007E4F42">
        <w:rPr>
          <w:rFonts w:ascii="Verdana" w:hAnsi="Verdana"/>
          <w:color w:val="000000"/>
          <w:sz w:val="22"/>
          <w:szCs w:val="22"/>
        </w:rPr>
        <w:t>Wichelhaus</w:t>
      </w:r>
      <w:bookmarkEnd w:id="1"/>
      <w:proofErr w:type="spellEnd"/>
      <w:r w:rsidRPr="007E4F42">
        <w:rPr>
          <w:rFonts w:ascii="Verdana" w:hAnsi="Verdana"/>
          <w:color w:val="000000"/>
          <w:sz w:val="22"/>
          <w:szCs w:val="22"/>
        </w:rPr>
        <w:t xml:space="preserve"> </w:t>
      </w:r>
    </w:p>
    <w:p w14:paraId="50FCFF54" w14:textId="77777777" w:rsidR="00602656" w:rsidRPr="007E4F42" w:rsidRDefault="00602656" w:rsidP="00602656">
      <w:pPr>
        <w:jc w:val="center"/>
        <w:rPr>
          <w:rFonts w:ascii="Verdana" w:hAnsi="Verdana"/>
          <w:sz w:val="22"/>
          <w:szCs w:val="22"/>
        </w:rPr>
      </w:pPr>
      <w:r w:rsidRPr="007E4F42">
        <w:rPr>
          <w:rFonts w:ascii="Verdana" w:hAnsi="Verdana"/>
          <w:color w:val="000000"/>
          <w:sz w:val="22"/>
          <w:szCs w:val="22"/>
        </w:rPr>
        <w:br/>
        <w:t xml:space="preserve">In the Court of Exchequer, 1864. </w:t>
      </w:r>
      <w:r w:rsidRPr="007E4F42">
        <w:rPr>
          <w:rFonts w:ascii="Verdana" w:hAnsi="Verdana"/>
          <w:color w:val="000000"/>
          <w:sz w:val="22"/>
          <w:szCs w:val="22"/>
        </w:rPr>
        <w:br/>
        <w:t>2 Hurl. &amp; C. 906.</w:t>
      </w:r>
    </w:p>
    <w:p w14:paraId="14DC1E72" w14:textId="77777777" w:rsidR="00602656" w:rsidRPr="007E4F42" w:rsidRDefault="00602656" w:rsidP="00602656">
      <w:pPr>
        <w:jc w:val="center"/>
        <w:rPr>
          <w:rFonts w:ascii="Verdana" w:hAnsi="Verdana"/>
          <w:sz w:val="22"/>
          <w:szCs w:val="22"/>
        </w:rPr>
      </w:pPr>
      <w:r w:rsidRPr="007E4F42">
        <w:rPr>
          <w:rFonts w:ascii="Verdana" w:hAnsi="Verdana"/>
          <w:color w:val="000000"/>
          <w:sz w:val="22"/>
          <w:szCs w:val="22"/>
        </w:rPr>
        <w:t> </w:t>
      </w:r>
    </w:p>
    <w:p w14:paraId="5B88C897" w14:textId="77777777" w:rsidR="00602656" w:rsidRPr="007E4F42" w:rsidRDefault="00602656" w:rsidP="00602656">
      <w:pPr>
        <w:pStyle w:val="NormalWeb"/>
        <w:spacing w:before="0" w:beforeAutospacing="0" w:after="0" w:afterAutospacing="0"/>
        <w:ind w:firstLine="720"/>
        <w:rPr>
          <w:rFonts w:ascii="Verdana" w:hAnsi="Verdana"/>
          <w:sz w:val="22"/>
          <w:szCs w:val="22"/>
        </w:rPr>
      </w:pPr>
      <w:r w:rsidRPr="007E4F42">
        <w:rPr>
          <w:rFonts w:ascii="Verdana" w:hAnsi="Verdana"/>
          <w:sz w:val="22"/>
          <w:szCs w:val="22"/>
        </w:rPr>
        <w:t xml:space="preserve">Declaration. For that it was agreed between the plaintiff and the defendants, to wit, at Liverpool, that the plaintiff should sell to the defendants, and the defendants buy of the plaintiff, certain goods, to wit, 125 bales of Surat cotton, guaranteed middling fair merchant's </w:t>
      </w:r>
      <w:proofErr w:type="spellStart"/>
      <w:r w:rsidRPr="007E4F42">
        <w:rPr>
          <w:rFonts w:ascii="Verdana" w:hAnsi="Verdana"/>
          <w:sz w:val="22"/>
          <w:szCs w:val="22"/>
        </w:rPr>
        <w:t>hollorah</w:t>
      </w:r>
      <w:proofErr w:type="spellEnd"/>
      <w:r w:rsidRPr="007E4F42">
        <w:rPr>
          <w:rFonts w:ascii="Verdana" w:hAnsi="Verdana"/>
          <w:sz w:val="22"/>
          <w:szCs w:val="22"/>
        </w:rPr>
        <w:t xml:space="preserve"> [a type of cotton], to arrive ex Peerless from Bombay; and that the cotton should be taken from the quay, and that the defendants would pay the plaintiff for the same at a certain rate, to wit, at the rate of 17l/4 d. per pound, within a certain time then agreed upon after the arrival of the said goods in England. </w:t>
      </w:r>
    </w:p>
    <w:p w14:paraId="29842625" w14:textId="77777777" w:rsidR="00602656" w:rsidRPr="007E4F42" w:rsidRDefault="00602656" w:rsidP="00602656">
      <w:pPr>
        <w:pStyle w:val="NormalWeb"/>
        <w:spacing w:before="0" w:beforeAutospacing="0" w:after="0" w:afterAutospacing="0"/>
        <w:rPr>
          <w:rFonts w:ascii="Verdana" w:hAnsi="Verdana"/>
          <w:sz w:val="22"/>
          <w:szCs w:val="22"/>
        </w:rPr>
      </w:pPr>
      <w:r w:rsidRPr="007E4F42">
        <w:rPr>
          <w:rFonts w:ascii="Verdana" w:hAnsi="Verdana"/>
          <w:sz w:val="22"/>
          <w:szCs w:val="22"/>
        </w:rPr>
        <w:t> </w:t>
      </w:r>
    </w:p>
    <w:p w14:paraId="4DB81263" w14:textId="77777777" w:rsidR="00602656" w:rsidRPr="007E4F42" w:rsidRDefault="00602656" w:rsidP="00602656">
      <w:pPr>
        <w:pStyle w:val="NormalWeb"/>
        <w:spacing w:before="0" w:beforeAutospacing="0" w:after="0" w:afterAutospacing="0"/>
        <w:ind w:firstLine="720"/>
        <w:rPr>
          <w:rFonts w:ascii="Verdana" w:hAnsi="Verdana"/>
          <w:sz w:val="22"/>
          <w:szCs w:val="22"/>
        </w:rPr>
      </w:pPr>
      <w:r w:rsidRPr="007E4F42">
        <w:rPr>
          <w:rFonts w:ascii="Verdana" w:hAnsi="Verdana"/>
          <w:sz w:val="22"/>
          <w:szCs w:val="22"/>
        </w:rPr>
        <w:lastRenderedPageBreak/>
        <w:t xml:space="preserve">Averments: that the said goods did arrive by the said ship from Bombay in England, to wit, at Liverpool, and the plaintiff was then and there ready and willing and offered to deliver the said goods to the defendants, etc. Breach: that the defendants refused to accept the said goods or pay the plaintiff for them. </w:t>
      </w:r>
    </w:p>
    <w:p w14:paraId="29A63B9B" w14:textId="77777777" w:rsidR="00602656" w:rsidRPr="007E4F42" w:rsidRDefault="00602656" w:rsidP="00602656">
      <w:pPr>
        <w:pStyle w:val="NormalWeb"/>
        <w:spacing w:before="0" w:beforeAutospacing="0" w:after="0" w:afterAutospacing="0"/>
        <w:rPr>
          <w:rFonts w:ascii="Verdana" w:hAnsi="Verdana"/>
          <w:sz w:val="22"/>
          <w:szCs w:val="22"/>
        </w:rPr>
      </w:pPr>
      <w:r w:rsidRPr="007E4F42">
        <w:rPr>
          <w:rFonts w:ascii="Verdana" w:hAnsi="Verdana"/>
          <w:sz w:val="22"/>
          <w:szCs w:val="22"/>
        </w:rPr>
        <w:t> </w:t>
      </w:r>
    </w:p>
    <w:p w14:paraId="69496267" w14:textId="77777777" w:rsidR="00602656" w:rsidRPr="007E4F42" w:rsidRDefault="00602656" w:rsidP="00602656">
      <w:pPr>
        <w:pStyle w:val="NormalWeb"/>
        <w:spacing w:before="0" w:beforeAutospacing="0" w:after="0" w:afterAutospacing="0"/>
        <w:ind w:firstLine="720"/>
        <w:rPr>
          <w:rFonts w:ascii="Verdana" w:hAnsi="Verdana"/>
          <w:sz w:val="22"/>
          <w:szCs w:val="22"/>
        </w:rPr>
      </w:pPr>
      <w:r w:rsidRPr="007E4F42">
        <w:rPr>
          <w:rFonts w:ascii="Verdana" w:hAnsi="Verdana"/>
          <w:sz w:val="22"/>
          <w:szCs w:val="22"/>
        </w:rPr>
        <w:t>Plea. That the said ship mentioned in the said agreement was meant and intended by the defendant to be the ship called the Peerless, which sailed from Bombay, to wit, in October; and that the plaintiff was not ready and willing, and did not offer to deliver to the defendants any bales of cotton which arrived by the last-mentioned ship, but instead thereof was only ready and willing, and offered to deliver to the defendants 125 bales of Surat cotton which arrived by another and different ship, which was also called the Peerless, and which sailed from Bombay, to wit, in December.  </w:t>
      </w:r>
    </w:p>
    <w:p w14:paraId="3F50F2FE"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Demurrer, and joinder therein. </w:t>
      </w:r>
    </w:p>
    <w:p w14:paraId="1F86D17E"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Milward, in support of the demurrer. The contract was for the sale of a number of bales of cotton of a particular description, which the plaintiff was ready to deliver. It is immaterial by what ship the cotton was to arrive, so that it was a ship called the Peerless. The words "to arrive ex Peerless," only mean that if the vessel is lost on the voyage, the contract is to be at an end. </w:t>
      </w:r>
    </w:p>
    <w:p w14:paraId="121F92BD"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Pollock, C.B. It would be a question for the jury whether both parties meant the same ship called the Peerless.</w:t>
      </w:r>
    </w:p>
    <w:p w14:paraId="604D0678"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That would be so if the contract was for the sale of a ship called the Peerless; but it is for the sale of cotton on board a ship of that name. </w:t>
      </w:r>
    </w:p>
    <w:p w14:paraId="05FE1113"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Pollock, C.B. The defendant only bought that cotton which was to arrive by a particular ship. It may as well be said, that if there is a contract for the purchase of certain goods in warehouse A., that is satisfied by the delivery of goods of the same description in warehouse B.</w:t>
      </w:r>
    </w:p>
    <w:p w14:paraId="7EE1B375"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In that case there would be goods in both warehouses; here it does not appear that the plaintiff had any goods on board the other Peerless. </w:t>
      </w:r>
    </w:p>
    <w:p w14:paraId="33AE7A21"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Martin, B. It is imposing on the defendant a contract different from that which he entered into. </w:t>
      </w:r>
    </w:p>
    <w:p w14:paraId="479009BF"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Pollock, C.B. It is like a contract for the purchase of wine coming from a particular estate in France or Spain, where there are two estates of that name. </w:t>
      </w:r>
    </w:p>
    <w:p w14:paraId="7BD2C258"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The defendant has no right to contradict by </w:t>
      </w:r>
      <w:proofErr w:type="spellStart"/>
      <w:r w:rsidRPr="007E4F42">
        <w:rPr>
          <w:rFonts w:ascii="Verdana" w:hAnsi="Verdana"/>
          <w:sz w:val="22"/>
          <w:szCs w:val="22"/>
        </w:rPr>
        <w:t>parol</w:t>
      </w:r>
      <w:proofErr w:type="spellEnd"/>
      <w:r w:rsidRPr="007E4F42">
        <w:rPr>
          <w:rFonts w:ascii="Verdana" w:hAnsi="Verdana"/>
          <w:sz w:val="22"/>
          <w:szCs w:val="22"/>
        </w:rPr>
        <w:t xml:space="preserve"> evidence, a written contract good upon the face of it. He does not impute misrepresentation or fraud, but only says that he fancied the ship was a different one. Intention is of no avail, unless stated at the time of the contract. </w:t>
      </w:r>
    </w:p>
    <w:p w14:paraId="5F76A1A1"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lastRenderedPageBreak/>
        <w:t>Pollock, C.B. One vessel sailed in October and the other in December.</w:t>
      </w:r>
    </w:p>
    <w:p w14:paraId="65237A79"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The time of sailing is no part of the contract. </w:t>
      </w:r>
    </w:p>
    <w:p w14:paraId="1D1E5DC2" w14:textId="77777777" w:rsidR="00602656" w:rsidRPr="007E4F42" w:rsidRDefault="00602656" w:rsidP="00602656">
      <w:pPr>
        <w:pStyle w:val="NormalWeb"/>
        <w:spacing w:before="0" w:beforeAutospacing="0" w:after="0" w:afterAutospacing="0"/>
        <w:ind w:firstLine="720"/>
        <w:rPr>
          <w:rFonts w:ascii="Verdana" w:hAnsi="Verdana"/>
          <w:sz w:val="22"/>
          <w:szCs w:val="22"/>
        </w:rPr>
      </w:pPr>
      <w:r w:rsidRPr="007E4F42">
        <w:rPr>
          <w:rFonts w:ascii="Verdana" w:hAnsi="Verdana"/>
          <w:sz w:val="22"/>
          <w:szCs w:val="22"/>
        </w:rPr>
        <w:t xml:space="preserve">Mellish (Cohen with him), in support of the plea. There is nothing on the face of the contract to show that any particular ship called the Peerless was meant; but the moment it appears that two ships called the Peerless were about to sail from Bombay there is a latent ambiguity, and </w:t>
      </w:r>
      <w:proofErr w:type="spellStart"/>
      <w:r w:rsidRPr="007E4F42">
        <w:rPr>
          <w:rFonts w:ascii="Verdana" w:hAnsi="Verdana"/>
          <w:sz w:val="22"/>
          <w:szCs w:val="22"/>
        </w:rPr>
        <w:t>parol</w:t>
      </w:r>
      <w:proofErr w:type="spellEnd"/>
      <w:r w:rsidRPr="007E4F42">
        <w:rPr>
          <w:rFonts w:ascii="Verdana" w:hAnsi="Verdana"/>
          <w:sz w:val="22"/>
          <w:szCs w:val="22"/>
        </w:rPr>
        <w:t xml:space="preserve"> evidence may be given for the purpose of showing that the defendant meant one Peerless and the plaintiff another. That being so, there was no consensus ad idem [meeting of the minds], and therefore no binding contract.  </w:t>
      </w:r>
    </w:p>
    <w:p w14:paraId="30FFA13C" w14:textId="77777777" w:rsidR="00602656" w:rsidRPr="007E4F42" w:rsidRDefault="00602656" w:rsidP="00602656">
      <w:pPr>
        <w:pStyle w:val="NormalWeb"/>
        <w:ind w:firstLine="720"/>
        <w:rPr>
          <w:rFonts w:ascii="Verdana" w:hAnsi="Verdana"/>
          <w:sz w:val="22"/>
          <w:szCs w:val="22"/>
        </w:rPr>
      </w:pPr>
      <w:r w:rsidRPr="007E4F42">
        <w:rPr>
          <w:rFonts w:ascii="Verdana" w:hAnsi="Verdana"/>
          <w:sz w:val="22"/>
          <w:szCs w:val="22"/>
        </w:rPr>
        <w:t xml:space="preserve">He was then stopped by the Court. </w:t>
      </w:r>
    </w:p>
    <w:p w14:paraId="59D958C1" w14:textId="77777777" w:rsidR="00602656" w:rsidRPr="007E4F42" w:rsidRDefault="00602656" w:rsidP="00602656">
      <w:pPr>
        <w:pStyle w:val="NormalWeb"/>
        <w:rPr>
          <w:rFonts w:ascii="Verdana" w:hAnsi="Verdana"/>
          <w:sz w:val="22"/>
          <w:szCs w:val="22"/>
        </w:rPr>
      </w:pPr>
      <w:r w:rsidRPr="007E4F42">
        <w:rPr>
          <w:rFonts w:ascii="Verdana" w:hAnsi="Verdana"/>
          <w:sz w:val="22"/>
          <w:szCs w:val="22"/>
        </w:rPr>
        <w:t xml:space="preserve">PER CURIAM. There must be judgment for the defendants. </w:t>
      </w:r>
    </w:p>
    <w:p w14:paraId="022EDBC7" w14:textId="77777777" w:rsidR="00D84A65" w:rsidRDefault="00602656" w:rsidP="00602656">
      <w:r w:rsidRPr="007E4F42">
        <w:rPr>
          <w:rFonts w:ascii="Verdana" w:hAnsi="Verdana"/>
          <w:sz w:val="22"/>
          <w:szCs w:val="22"/>
        </w:rPr>
        <w:t>Judgment for the defendants.</w:t>
      </w:r>
    </w:p>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56"/>
    <w:rsid w:val="00602656"/>
    <w:rsid w:val="00B633EF"/>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B584"/>
  <w15:chartTrackingRefBased/>
  <w15:docId w15:val="{563AD580-64A5-4B47-B33B-1DD0AD4F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656"/>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26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10523</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2</cp:revision>
  <dcterms:created xsi:type="dcterms:W3CDTF">2020-11-02T18:52:00Z</dcterms:created>
  <dcterms:modified xsi:type="dcterms:W3CDTF">2020-11-02T18:52:00Z</dcterms:modified>
</cp:coreProperties>
</file>