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D1C87" w14:textId="77777777" w:rsidR="008906F5" w:rsidRPr="007E4F42" w:rsidRDefault="008906F5" w:rsidP="008906F5">
      <w:pPr>
        <w:jc w:val="center"/>
        <w:outlineLvl w:val="0"/>
        <w:rPr>
          <w:rFonts w:ascii="Verdana" w:hAnsi="Verdana" w:cs="Arial"/>
          <w:sz w:val="22"/>
          <w:szCs w:val="22"/>
        </w:rPr>
      </w:pPr>
      <w:r w:rsidRPr="007E4F42">
        <w:rPr>
          <w:rFonts w:ascii="Verdana" w:hAnsi="Verdana" w:cs="Arial"/>
          <w:bCs/>
          <w:sz w:val="22"/>
          <w:szCs w:val="22"/>
        </w:rPr>
        <w:t>Angel v. Murray</w:t>
      </w:r>
      <w:r w:rsidRPr="007E4F42">
        <w:rPr>
          <w:rFonts w:ascii="Verdana" w:hAnsi="Verdana" w:cs="Arial"/>
          <w:sz w:val="22"/>
          <w:szCs w:val="22"/>
        </w:rPr>
        <w:t xml:space="preserve"> </w:t>
      </w:r>
      <w:r w:rsidRPr="007E4F42">
        <w:rPr>
          <w:rFonts w:ascii="Verdana" w:hAnsi="Verdana" w:cs="Arial"/>
          <w:sz w:val="22"/>
          <w:szCs w:val="22"/>
        </w:rPr>
        <w:br/>
      </w:r>
      <w:r w:rsidRPr="007E4F42">
        <w:rPr>
          <w:rFonts w:ascii="Verdana" w:hAnsi="Verdana" w:cs="Arial"/>
          <w:bCs/>
          <w:sz w:val="22"/>
          <w:szCs w:val="22"/>
        </w:rPr>
        <w:t>322 A.2d 630 (R.I. 1974)</w:t>
      </w:r>
      <w:r w:rsidRPr="007E4F42">
        <w:rPr>
          <w:rFonts w:ascii="Verdana" w:hAnsi="Verdana" w:cs="Arial"/>
          <w:sz w:val="22"/>
          <w:szCs w:val="22"/>
        </w:rPr>
        <w:t xml:space="preserve"> </w:t>
      </w:r>
    </w:p>
    <w:p w14:paraId="0A1C28E9" w14:textId="77777777" w:rsidR="008906F5" w:rsidRPr="007E4F42" w:rsidRDefault="008906F5" w:rsidP="008906F5">
      <w:pPr>
        <w:pStyle w:val="NormalWeb"/>
        <w:jc w:val="center"/>
        <w:rPr>
          <w:rFonts w:ascii="Verdana" w:hAnsi="Verdana" w:cs="Arial"/>
          <w:sz w:val="22"/>
          <w:szCs w:val="22"/>
        </w:rPr>
      </w:pPr>
      <w:r w:rsidRPr="007E4F42">
        <w:rPr>
          <w:rFonts w:ascii="Verdana" w:hAnsi="Verdana" w:cs="Arial"/>
          <w:bCs/>
          <w:sz w:val="22"/>
          <w:szCs w:val="22"/>
        </w:rPr>
        <w:t>OPINION</w:t>
      </w:r>
    </w:p>
    <w:p w14:paraId="755A1928" w14:textId="77777777" w:rsidR="008906F5" w:rsidRPr="007E4F42" w:rsidRDefault="008906F5" w:rsidP="008906F5">
      <w:pPr>
        <w:pStyle w:val="NormalWeb"/>
        <w:ind w:firstLine="720"/>
        <w:rPr>
          <w:rFonts w:ascii="Verdana" w:hAnsi="Verdana" w:cs="Arial"/>
          <w:sz w:val="22"/>
          <w:szCs w:val="22"/>
        </w:rPr>
      </w:pPr>
      <w:r w:rsidRPr="007E4F42">
        <w:rPr>
          <w:rFonts w:ascii="Verdana" w:hAnsi="Verdana" w:cs="Arial"/>
          <w:sz w:val="22"/>
          <w:szCs w:val="22"/>
        </w:rPr>
        <w:t xml:space="preserve">This is a civil action brought by Alfred L. Angel and others against John E. Murray, Jr., Director of Finance of the City of Newport, the city of Newport, and James L. Maher, alleging that Maher had illegally been paid the sum of $20,000 by the Director of Finance and praying that the defendant Maher be ordered to repay the city such sum. The case was heard by a justice of the Superior Court, sitting without a jury, who entered a judgment ordering Maher to repay the sum of $ 20,000 to the city of Newport. Maher is now before this court prosecuting an appeal. </w:t>
      </w:r>
    </w:p>
    <w:p w14:paraId="1C83FB4F" w14:textId="77777777" w:rsidR="008906F5" w:rsidRPr="007E4F42" w:rsidRDefault="008906F5" w:rsidP="008906F5">
      <w:pPr>
        <w:pStyle w:val="NormalWeb"/>
        <w:ind w:firstLine="720"/>
        <w:rPr>
          <w:rFonts w:ascii="Verdana" w:hAnsi="Verdana" w:cs="Arial"/>
          <w:sz w:val="22"/>
          <w:szCs w:val="22"/>
        </w:rPr>
      </w:pPr>
      <w:r w:rsidRPr="007E4F42">
        <w:rPr>
          <w:rFonts w:ascii="Verdana" w:hAnsi="Verdana" w:cs="Arial"/>
          <w:sz w:val="22"/>
          <w:szCs w:val="22"/>
        </w:rPr>
        <w:t xml:space="preserve">The record discloses that Maher has provided the city of Newport with a refuse-collection service under a series of five-year contracts beginning in 1946. On March 12, 1964, Maher and the city entered into another such contract for a period of five years commencing on July 1, 1964, and terminating on June 30, 1969. The contract provided, among other things, that Maher would receive $ 137,000 per year in return for collecting and removing all combustible and noncombustible waste materials generated within the city. </w:t>
      </w:r>
    </w:p>
    <w:p w14:paraId="0E4CCF35" w14:textId="77777777" w:rsidR="008906F5" w:rsidRPr="007E4F42" w:rsidRDefault="008906F5" w:rsidP="008906F5">
      <w:pPr>
        <w:pStyle w:val="NormalWeb"/>
        <w:ind w:firstLine="720"/>
        <w:rPr>
          <w:rFonts w:ascii="Verdana" w:hAnsi="Verdana" w:cs="Arial"/>
          <w:sz w:val="22"/>
          <w:szCs w:val="22"/>
        </w:rPr>
      </w:pPr>
      <w:r w:rsidRPr="007E4F42">
        <w:rPr>
          <w:rFonts w:ascii="Verdana" w:hAnsi="Verdana" w:cs="Arial"/>
          <w:sz w:val="22"/>
          <w:szCs w:val="22"/>
        </w:rPr>
        <w:t xml:space="preserve">In June of 1967 Maher requested an additional $ 10,000 per year from the city council because there had been a substantial increase in the cost of collection due to an unexpected and unanticipated increase of 400 new dwelling units. Maher's testimony, which is uncontradicted, indicates the 1964 contract had been predicated on the fact that since 1946 there had been an average increase of 20 to 25 new dwelling units per year. </w:t>
      </w:r>
    </w:p>
    <w:p w14:paraId="33B5DF00" w14:textId="77777777" w:rsidR="008906F5" w:rsidRPr="007E4F42" w:rsidRDefault="008906F5" w:rsidP="008906F5">
      <w:pPr>
        <w:pStyle w:val="NormalWeb"/>
        <w:ind w:firstLine="720"/>
        <w:rPr>
          <w:rFonts w:ascii="Verdana" w:hAnsi="Verdana" w:cs="Arial"/>
          <w:sz w:val="22"/>
          <w:szCs w:val="22"/>
        </w:rPr>
      </w:pPr>
      <w:r w:rsidRPr="007E4F42">
        <w:rPr>
          <w:rFonts w:ascii="Verdana" w:hAnsi="Verdana" w:cs="Arial"/>
          <w:sz w:val="22"/>
          <w:szCs w:val="22"/>
        </w:rPr>
        <w:t xml:space="preserve">After a public meeting of the city council where Maher explained in detail the reasons for his request and was questioned by members of the city council, the city council agreed to pay him an additional $ 10,000 for the year ending on June 30, 1968. Maher made a similar request again in June of 1968 for the same reasons, and the city council again agreed to pay an additional $10,000 for the year ending on June 30, 1969. </w:t>
      </w:r>
    </w:p>
    <w:p w14:paraId="6338C60F" w14:textId="77777777" w:rsidR="008906F5" w:rsidRPr="007E4F42" w:rsidRDefault="008906F5" w:rsidP="008906F5">
      <w:pPr>
        <w:pStyle w:val="NormalWeb"/>
        <w:ind w:firstLine="720"/>
        <w:rPr>
          <w:rFonts w:ascii="Verdana" w:hAnsi="Verdana" w:cs="Arial"/>
          <w:sz w:val="22"/>
          <w:szCs w:val="22"/>
        </w:rPr>
      </w:pPr>
      <w:r w:rsidRPr="007E4F42">
        <w:rPr>
          <w:rFonts w:ascii="Verdana" w:hAnsi="Verdana" w:cs="Arial"/>
          <w:sz w:val="22"/>
          <w:szCs w:val="22"/>
        </w:rPr>
        <w:t>The trial justice found that each such $ 10,000 payment was made in violation of law</w:t>
      </w:r>
      <w:proofErr w:type="gramStart"/>
      <w:r w:rsidRPr="007E4F42">
        <w:rPr>
          <w:rFonts w:ascii="Verdana" w:hAnsi="Verdana" w:cs="Arial"/>
          <w:sz w:val="22"/>
          <w:szCs w:val="22"/>
        </w:rPr>
        <w:t>. . . .</w:t>
      </w:r>
      <w:proofErr w:type="gramEnd"/>
      <w:r w:rsidRPr="007E4F42">
        <w:rPr>
          <w:rFonts w:ascii="Verdana" w:hAnsi="Verdana" w:cs="Arial"/>
          <w:sz w:val="22"/>
          <w:szCs w:val="22"/>
        </w:rPr>
        <w:t xml:space="preserve"> [H]e found that Maher was not entitled to extra compensation because the original contract already required him to collect all refuse generated within the city and, therefore, included the 400 additional units . . . and thus there was no consideration for the two additional payments </w:t>
      </w:r>
      <w:proofErr w:type="gramStart"/>
      <w:r w:rsidRPr="007E4F42">
        <w:rPr>
          <w:rFonts w:ascii="Verdana" w:hAnsi="Verdana" w:cs="Arial"/>
          <w:sz w:val="22"/>
          <w:szCs w:val="22"/>
        </w:rPr>
        <w:t>. . . .</w:t>
      </w:r>
      <w:proofErr w:type="gramEnd"/>
      <w:r w:rsidRPr="007E4F42">
        <w:rPr>
          <w:rFonts w:ascii="Verdana" w:hAnsi="Verdana" w:cs="Arial"/>
          <w:sz w:val="22"/>
          <w:szCs w:val="22"/>
        </w:rPr>
        <w:t xml:space="preserve"> </w:t>
      </w:r>
    </w:p>
    <w:p w14:paraId="14131D18" w14:textId="7C9D31D1" w:rsidR="008906F5" w:rsidRPr="007E4F42" w:rsidRDefault="008906F5" w:rsidP="008906F5">
      <w:pPr>
        <w:pStyle w:val="NormalWeb"/>
        <w:rPr>
          <w:rFonts w:ascii="Verdana" w:hAnsi="Verdana" w:cs="Arial"/>
          <w:sz w:val="22"/>
          <w:szCs w:val="22"/>
        </w:rPr>
      </w:pPr>
    </w:p>
    <w:p w14:paraId="3C4FEDEC" w14:textId="77777777" w:rsidR="008906F5" w:rsidRPr="007E4F42" w:rsidRDefault="008906F5" w:rsidP="008906F5">
      <w:pPr>
        <w:pStyle w:val="NormalWeb"/>
        <w:jc w:val="center"/>
        <w:rPr>
          <w:rFonts w:ascii="Verdana" w:hAnsi="Verdana" w:cs="Arial"/>
          <w:sz w:val="22"/>
          <w:szCs w:val="22"/>
        </w:rPr>
      </w:pPr>
      <w:r w:rsidRPr="007E4F42">
        <w:rPr>
          <w:rFonts w:ascii="Verdana" w:hAnsi="Verdana" w:cs="Arial"/>
          <w:sz w:val="22"/>
          <w:szCs w:val="22"/>
        </w:rPr>
        <w:t>-- A --</w:t>
      </w:r>
    </w:p>
    <w:p w14:paraId="61674628" w14:textId="77777777" w:rsidR="008906F5" w:rsidRPr="007E4F42" w:rsidRDefault="008906F5" w:rsidP="008906F5">
      <w:pPr>
        <w:pStyle w:val="NormalWeb"/>
        <w:ind w:firstLine="720"/>
        <w:rPr>
          <w:rFonts w:ascii="Verdana" w:hAnsi="Verdana" w:cs="Arial"/>
          <w:sz w:val="22"/>
          <w:szCs w:val="22"/>
        </w:rPr>
      </w:pPr>
      <w:r w:rsidRPr="007E4F42">
        <w:rPr>
          <w:rFonts w:ascii="Verdana" w:hAnsi="Verdana" w:cs="Arial"/>
          <w:sz w:val="22"/>
          <w:szCs w:val="22"/>
        </w:rPr>
        <w:t xml:space="preserve">As previously stated, the city council made two $ 10,000 payments. The first was made in June of 1967 for the year beginning on July 1, 1967, and ending on </w:t>
      </w:r>
      <w:r w:rsidRPr="007E4F42">
        <w:rPr>
          <w:rFonts w:ascii="Verdana" w:hAnsi="Verdana" w:cs="Arial"/>
          <w:sz w:val="22"/>
          <w:szCs w:val="22"/>
        </w:rPr>
        <w:lastRenderedPageBreak/>
        <w:t xml:space="preserve">June 30, 1968. Thus, by the time this action was commenced in October of 1968, the modification was completely executed. That is, the money had been paid by the city council, and Maher had collected all of the refuse. Since consideration is only a test of the enforceability of executory promises, the presence or absence of consideration for the first payment is unimportant because the city council's agreement to make the first payment was fully executed at the time of the commencement of this action. However, since both payments were made under similar circumstances, our decision regarding the second payment (Part B, infra) is fully applicable to the first payment. </w:t>
      </w:r>
    </w:p>
    <w:p w14:paraId="51FB5B0D" w14:textId="77777777" w:rsidR="008906F5" w:rsidRPr="007E4F42" w:rsidRDefault="008906F5" w:rsidP="008906F5">
      <w:pPr>
        <w:pStyle w:val="NormalWeb"/>
        <w:jc w:val="center"/>
        <w:rPr>
          <w:rFonts w:ascii="Verdana" w:hAnsi="Verdana" w:cs="Arial"/>
          <w:sz w:val="22"/>
          <w:szCs w:val="22"/>
        </w:rPr>
      </w:pPr>
      <w:r w:rsidRPr="007E4F42">
        <w:rPr>
          <w:rFonts w:ascii="Verdana" w:hAnsi="Verdana" w:cs="Arial"/>
          <w:sz w:val="22"/>
          <w:szCs w:val="22"/>
        </w:rPr>
        <w:t>-- B --</w:t>
      </w:r>
    </w:p>
    <w:p w14:paraId="32E0D87E" w14:textId="77777777" w:rsidR="008906F5" w:rsidRPr="007E4F42" w:rsidRDefault="008906F5" w:rsidP="008906F5">
      <w:pPr>
        <w:pStyle w:val="NormalWeb"/>
        <w:ind w:firstLine="720"/>
        <w:rPr>
          <w:rFonts w:ascii="Verdana" w:hAnsi="Verdana" w:cs="Arial"/>
          <w:sz w:val="22"/>
          <w:szCs w:val="22"/>
        </w:rPr>
      </w:pPr>
      <w:r w:rsidRPr="007E4F42">
        <w:rPr>
          <w:rFonts w:ascii="Verdana" w:hAnsi="Verdana" w:cs="Arial"/>
          <w:sz w:val="22"/>
          <w:szCs w:val="22"/>
        </w:rPr>
        <w:t xml:space="preserve">It is generally held that a modification of a contract is itself a contract, which is unenforceable unless supported by consideration </w:t>
      </w:r>
      <w:proofErr w:type="gramStart"/>
      <w:r w:rsidRPr="007E4F42">
        <w:rPr>
          <w:rFonts w:ascii="Verdana" w:hAnsi="Verdana" w:cs="Arial"/>
          <w:sz w:val="22"/>
          <w:szCs w:val="22"/>
        </w:rPr>
        <w:t>. . . .</w:t>
      </w:r>
      <w:proofErr w:type="gramEnd"/>
      <w:r w:rsidRPr="007E4F42">
        <w:rPr>
          <w:rFonts w:ascii="Verdana" w:hAnsi="Verdana" w:cs="Arial"/>
          <w:sz w:val="22"/>
          <w:szCs w:val="22"/>
        </w:rPr>
        <w:t xml:space="preserve"> </w:t>
      </w:r>
    </w:p>
    <w:p w14:paraId="76DE1A49" w14:textId="77777777" w:rsidR="008906F5" w:rsidRPr="007E4F42" w:rsidRDefault="008906F5" w:rsidP="008906F5">
      <w:pPr>
        <w:pStyle w:val="NormalWeb"/>
        <w:ind w:firstLine="720"/>
        <w:rPr>
          <w:rFonts w:ascii="Verdana" w:hAnsi="Verdana" w:cs="Arial"/>
          <w:sz w:val="22"/>
          <w:szCs w:val="22"/>
        </w:rPr>
      </w:pPr>
      <w:r w:rsidRPr="007E4F42">
        <w:rPr>
          <w:rFonts w:ascii="Verdana" w:hAnsi="Verdana" w:cs="Arial"/>
          <w:sz w:val="22"/>
          <w:szCs w:val="22"/>
        </w:rPr>
        <w:t xml:space="preserve">The primary purpose of the preexisting duty rule is to prevent what has been referred to as the "hold-up game." See 1A Corbin, supra, § 171. A classic example of the "hold-up game" is found in Alaska Packers' </w:t>
      </w:r>
      <w:proofErr w:type="spellStart"/>
      <w:r w:rsidRPr="007E4F42">
        <w:rPr>
          <w:rFonts w:ascii="Verdana" w:hAnsi="Verdana" w:cs="Arial"/>
          <w:sz w:val="22"/>
          <w:szCs w:val="22"/>
        </w:rPr>
        <w:t>Ass'n</w:t>
      </w:r>
      <w:proofErr w:type="spellEnd"/>
      <w:r w:rsidRPr="007E4F42">
        <w:rPr>
          <w:rFonts w:ascii="Verdana" w:hAnsi="Verdana" w:cs="Arial"/>
          <w:sz w:val="22"/>
          <w:szCs w:val="22"/>
        </w:rPr>
        <w:t xml:space="preserve"> v. Domenico, 117 F. 99 (9th Cir. 1902). There 21 seamen entered into a written contract with Domenico to sail from San Francisco to Pyramid Harbor, Alaska. They were to work as sailors and fishermen out of Pyramid Harbor during the fishing season of 1900. The contract specified that each man would be paid $50 plus two cents for each red salmon he caught. Subsequent to their arrival at Pyramid Harbor, the men stopped work and demanded an additional $50. They threatened to return to San Francisco if Domenico did not agree to their demand. Since it was impossible for Domenico to find other men, he agreed to pay the men an additional $50. </w:t>
      </w:r>
    </w:p>
    <w:p w14:paraId="41A34B6B" w14:textId="77777777" w:rsidR="008906F5" w:rsidRPr="007E4F42" w:rsidRDefault="008906F5" w:rsidP="008906F5">
      <w:pPr>
        <w:pStyle w:val="NormalWeb"/>
        <w:ind w:firstLine="720"/>
        <w:rPr>
          <w:rFonts w:ascii="Verdana" w:hAnsi="Verdana" w:cs="Arial"/>
          <w:sz w:val="22"/>
          <w:szCs w:val="22"/>
        </w:rPr>
      </w:pPr>
      <w:r w:rsidRPr="007E4F42">
        <w:rPr>
          <w:rFonts w:ascii="Verdana" w:hAnsi="Verdana" w:cs="Arial"/>
          <w:sz w:val="22"/>
          <w:szCs w:val="22"/>
        </w:rPr>
        <w:t xml:space="preserve">After they returned to San Francisco, Domenico refused to pay the men an additional $50. The court found that the subsequent agreement to pay the men an additional $50 was not supported by consideration because the men had a preexisting duty to work on the ship under the original contract, and thus the subsequent agreement was unenforceable. </w:t>
      </w:r>
    </w:p>
    <w:p w14:paraId="30912D1A" w14:textId="77777777" w:rsidR="008906F5" w:rsidRPr="007E4F42" w:rsidRDefault="008906F5" w:rsidP="008906F5">
      <w:pPr>
        <w:pStyle w:val="NormalWeb"/>
        <w:ind w:firstLine="720"/>
        <w:rPr>
          <w:rFonts w:ascii="Verdana" w:hAnsi="Verdana" w:cs="Arial"/>
          <w:sz w:val="22"/>
          <w:szCs w:val="22"/>
        </w:rPr>
      </w:pPr>
      <w:r w:rsidRPr="007E4F42">
        <w:rPr>
          <w:rFonts w:ascii="Verdana" w:hAnsi="Verdana" w:cs="Arial"/>
          <w:sz w:val="22"/>
          <w:szCs w:val="22"/>
        </w:rPr>
        <w:t xml:space="preserve">Another example of the "hold-up game" is found in the area of construction contracts. Frequently, a contractor will refuse to complete work under an unprofitable contract unless he is awarded additional compensation. The courts have generally held that a subsequent agreement to award additional compensation is unenforceable if the contractor is only performing work which would have been required of him under the original contract. See, e.g., </w:t>
      </w:r>
      <w:proofErr w:type="spellStart"/>
      <w:r w:rsidRPr="007E4F42">
        <w:rPr>
          <w:rFonts w:ascii="Verdana" w:hAnsi="Verdana" w:cs="Arial"/>
          <w:sz w:val="22"/>
          <w:szCs w:val="22"/>
        </w:rPr>
        <w:t>Lingenfelder</w:t>
      </w:r>
      <w:proofErr w:type="spellEnd"/>
      <w:r w:rsidRPr="007E4F42">
        <w:rPr>
          <w:rFonts w:ascii="Verdana" w:hAnsi="Verdana" w:cs="Arial"/>
          <w:sz w:val="22"/>
          <w:szCs w:val="22"/>
        </w:rPr>
        <w:t xml:space="preserve"> v. Wainwright Brewing Co., 103 Mo. 578, 15 S.W. 844 (1891), which is a leading case in this area</w:t>
      </w:r>
      <w:proofErr w:type="gramStart"/>
      <w:r w:rsidRPr="007E4F42">
        <w:rPr>
          <w:rFonts w:ascii="Verdana" w:hAnsi="Verdana" w:cs="Arial"/>
          <w:sz w:val="22"/>
          <w:szCs w:val="22"/>
        </w:rPr>
        <w:t>. . . .</w:t>
      </w:r>
      <w:proofErr w:type="gramEnd"/>
      <w:r w:rsidRPr="007E4F42">
        <w:rPr>
          <w:rFonts w:ascii="Verdana" w:hAnsi="Verdana" w:cs="Arial"/>
          <w:sz w:val="22"/>
          <w:szCs w:val="22"/>
        </w:rPr>
        <w:t xml:space="preserve"> </w:t>
      </w:r>
    </w:p>
    <w:p w14:paraId="4C7C0122" w14:textId="77777777" w:rsidR="008906F5" w:rsidRPr="007E4F42" w:rsidRDefault="008906F5" w:rsidP="008906F5">
      <w:pPr>
        <w:pStyle w:val="NormalWeb"/>
        <w:ind w:firstLine="720"/>
        <w:rPr>
          <w:rFonts w:ascii="Verdana" w:hAnsi="Verdana" w:cs="Arial"/>
          <w:sz w:val="22"/>
          <w:szCs w:val="22"/>
        </w:rPr>
      </w:pPr>
      <w:r w:rsidRPr="007E4F42">
        <w:rPr>
          <w:rFonts w:ascii="Verdana" w:hAnsi="Verdana" w:cs="Arial"/>
          <w:sz w:val="22"/>
          <w:szCs w:val="22"/>
        </w:rPr>
        <w:t xml:space="preserve">These examples clearly illustrate that the courts will not enforce an agreement that has been procured by coercion or duress and will hold the parties to their original contract regardless of whether it is profitable or unprofitable. However, the courts have been reluctant to apply the pre-existing duty rule when a party to a contract encounters unanticipated difficulties and the other party, not influenced by coercion or duress, voluntarily agrees to pay additional compensation </w:t>
      </w:r>
      <w:r w:rsidRPr="007E4F42">
        <w:rPr>
          <w:rFonts w:ascii="Verdana" w:hAnsi="Verdana" w:cs="Arial"/>
          <w:sz w:val="22"/>
          <w:szCs w:val="22"/>
        </w:rPr>
        <w:lastRenderedPageBreak/>
        <w:t xml:space="preserve">for work already required to be performed under the contract. For example, the courts have found that the original contract was rescinded, Linz v. Schuck, 106 Md. 220, 67 A. 286 (1907); abandoned, Connelly v. </w:t>
      </w:r>
      <w:proofErr w:type="spellStart"/>
      <w:r w:rsidRPr="007E4F42">
        <w:rPr>
          <w:rFonts w:ascii="Verdana" w:hAnsi="Verdana" w:cs="Arial"/>
          <w:sz w:val="22"/>
          <w:szCs w:val="22"/>
        </w:rPr>
        <w:t>Devoe</w:t>
      </w:r>
      <w:proofErr w:type="spellEnd"/>
      <w:r w:rsidRPr="007E4F42">
        <w:rPr>
          <w:rFonts w:ascii="Verdana" w:hAnsi="Verdana" w:cs="Arial"/>
          <w:sz w:val="22"/>
          <w:szCs w:val="22"/>
        </w:rPr>
        <w:t xml:space="preserve">, 37 Conn. 570 (1871), or waived, Michaud v. MacGregor, 61 Minn. 198, 63 N.W. 479 (1895).  Although the preexisting duty rule has served a useful purpose insofar as it deters parties from using coercion and duress to obtain additional compensation, it has been widely criticized as a general rule of law. With regard to the preexisting duty rule, one legal scholar has stated: "There has been a growing doubt as to the soundness of this doctrine as a matter of social policy. * * * In certain classes of cases, this doubt has influenced courts to refuse to apply the rule, or to ignore it, in their actual decisions. Like other legal rules, this rule is in process of growth and change, the process being more active here than in most instances. The result of this is that a court should no longer accept this rule as fully established. It should never use it as the major premise of a decision, at least without giving careful thought to the circumstances of the particular case, to the moral deserts of the parties, and to the social feelings and interests that are involved. It is certain that the rule, stated in general and all-inclusive terms, is no longer so well-settled that a court must apply it though the heavens fall." 1A Corbin, supra, § 171; see also Calamari &amp; </w:t>
      </w:r>
      <w:proofErr w:type="spellStart"/>
      <w:r w:rsidRPr="007E4F42">
        <w:rPr>
          <w:rFonts w:ascii="Verdana" w:hAnsi="Verdana" w:cs="Arial"/>
          <w:sz w:val="22"/>
          <w:szCs w:val="22"/>
        </w:rPr>
        <w:t>Perillo</w:t>
      </w:r>
      <w:proofErr w:type="spellEnd"/>
      <w:r w:rsidRPr="007E4F42">
        <w:rPr>
          <w:rFonts w:ascii="Verdana" w:hAnsi="Verdana" w:cs="Arial"/>
          <w:sz w:val="22"/>
          <w:szCs w:val="22"/>
        </w:rPr>
        <w:t xml:space="preserve">, supra, § 61. </w:t>
      </w:r>
    </w:p>
    <w:p w14:paraId="4C444227" w14:textId="77777777" w:rsidR="008906F5" w:rsidRPr="007E4F42" w:rsidRDefault="008906F5" w:rsidP="008906F5">
      <w:pPr>
        <w:pStyle w:val="NormalWeb"/>
        <w:ind w:firstLine="720"/>
        <w:rPr>
          <w:rFonts w:ascii="Verdana" w:hAnsi="Verdana" w:cs="Arial"/>
          <w:sz w:val="22"/>
          <w:szCs w:val="22"/>
        </w:rPr>
      </w:pPr>
      <w:r w:rsidRPr="007E4F42">
        <w:rPr>
          <w:rFonts w:ascii="Verdana" w:hAnsi="Verdana" w:cs="Arial"/>
          <w:sz w:val="22"/>
          <w:szCs w:val="22"/>
        </w:rPr>
        <w:t xml:space="preserve">The modern trend appears to recognize the necessity that courts should enforce agreements modifying contracts when unexpected or unanticipated difficulties arise during the course of the performance of a contract, even though there is no consideration for the modification, as long as the parties agree voluntarily.  </w:t>
      </w:r>
    </w:p>
    <w:p w14:paraId="71AAB2F9" w14:textId="77777777" w:rsidR="008906F5" w:rsidRPr="007E4F42" w:rsidRDefault="008906F5" w:rsidP="008906F5">
      <w:pPr>
        <w:pStyle w:val="NormalWeb"/>
        <w:ind w:firstLine="720"/>
        <w:rPr>
          <w:rFonts w:ascii="Verdana" w:hAnsi="Verdana" w:cs="Arial"/>
          <w:sz w:val="22"/>
          <w:szCs w:val="22"/>
        </w:rPr>
      </w:pPr>
      <w:r w:rsidRPr="007E4F42">
        <w:rPr>
          <w:rFonts w:ascii="Verdana" w:hAnsi="Verdana" w:cs="Arial"/>
          <w:sz w:val="22"/>
          <w:szCs w:val="22"/>
        </w:rPr>
        <w:t xml:space="preserve">Under the Uniform Commercial Code, § 2-209(1), which has been adopted by 49 states, "[an] agreement modifying a contract [for the sale of goods] needs no consideration to be binding." See G. L. 1956 (1969 Reenactment) § 6A-2-209(1). Although at first blush this section appears to validate modifications obtained by coercion and duress, the comments to this section indicate that a modification under this section must meet the test of good faith imposed by the Code, and a modification obtained by extortion without a legitimate commercial reason is unenforceable. </w:t>
      </w:r>
    </w:p>
    <w:p w14:paraId="3CA0EE5F" w14:textId="77777777" w:rsidR="008906F5" w:rsidRPr="007E4F42" w:rsidRDefault="008906F5" w:rsidP="008906F5">
      <w:pPr>
        <w:pStyle w:val="NormalWeb"/>
        <w:ind w:firstLine="720"/>
        <w:rPr>
          <w:rFonts w:ascii="Verdana" w:hAnsi="Verdana" w:cs="Arial"/>
          <w:sz w:val="22"/>
          <w:szCs w:val="22"/>
        </w:rPr>
      </w:pPr>
      <w:r w:rsidRPr="007E4F42">
        <w:rPr>
          <w:rFonts w:ascii="Verdana" w:hAnsi="Verdana" w:cs="Arial"/>
          <w:sz w:val="22"/>
          <w:szCs w:val="22"/>
        </w:rPr>
        <w:t xml:space="preserve">The modern trend away from a rigid application of the preexisting duty rule is reflected by § 89D(a) of the American Law Institute's Restatement Second of the Law of Contracts, which provides: </w:t>
      </w:r>
    </w:p>
    <w:p w14:paraId="04E58C5B" w14:textId="77777777" w:rsidR="008906F5" w:rsidRPr="007E4F42" w:rsidRDefault="008906F5" w:rsidP="008906F5">
      <w:pPr>
        <w:pStyle w:val="NormalWeb"/>
        <w:ind w:left="720"/>
        <w:rPr>
          <w:rFonts w:ascii="Verdana" w:hAnsi="Verdana" w:cs="Arial"/>
          <w:sz w:val="22"/>
          <w:szCs w:val="22"/>
        </w:rPr>
      </w:pPr>
      <w:r w:rsidRPr="007E4F42">
        <w:rPr>
          <w:rFonts w:ascii="Verdana" w:hAnsi="Verdana" w:cs="Arial"/>
          <w:sz w:val="22"/>
          <w:szCs w:val="22"/>
        </w:rPr>
        <w:t xml:space="preserve">"A promise modifying a duty under a contract not fully performed on either side is binding (a) if the modification is fair and equitable in view of circumstances not anticipated by the parties when the contract was made * * *." </w:t>
      </w:r>
    </w:p>
    <w:p w14:paraId="75462A5D" w14:textId="77777777" w:rsidR="008906F5" w:rsidRPr="007E4F42" w:rsidRDefault="008906F5" w:rsidP="008906F5">
      <w:pPr>
        <w:pStyle w:val="NormalWeb"/>
        <w:rPr>
          <w:rFonts w:ascii="Verdana" w:hAnsi="Verdana" w:cs="Arial"/>
          <w:sz w:val="22"/>
          <w:szCs w:val="22"/>
        </w:rPr>
      </w:pPr>
      <w:r w:rsidRPr="007E4F42">
        <w:rPr>
          <w:rFonts w:ascii="Verdana" w:hAnsi="Verdana" w:cs="Arial"/>
          <w:sz w:val="22"/>
          <w:szCs w:val="22"/>
        </w:rPr>
        <w:t xml:space="preserve">We believe that § 89D(a) is the proper rule of law and find it applicable to the facts of this case. It not only prohibits modifications obtained by coercion, duress, or extortion but also fulfills society's expectation that agreements entered into voluntarily will be enforced by the courts. See generally Horwitz, The Historical </w:t>
      </w:r>
      <w:r w:rsidRPr="007E4F42">
        <w:rPr>
          <w:rFonts w:ascii="Verdana" w:hAnsi="Verdana" w:cs="Arial"/>
          <w:sz w:val="22"/>
          <w:szCs w:val="22"/>
        </w:rPr>
        <w:lastRenderedPageBreak/>
        <w:t xml:space="preserve">Foundations of Modern Contract Law, 87 Harv. L. Rev. 917 (1974). Section 89D(a), of course, does not compel a modification of an unprofitable or unfair contract; it only enforces a modification if the parties voluntarily agree and if (1) the promise modifying the original contract was made before the contract was fully performed on either side, (2) the underlying circumstances which prompted the modification were unanticipated by the parties, and (3) the modification is fair and equitable. </w:t>
      </w:r>
    </w:p>
    <w:p w14:paraId="1FD4318A" w14:textId="77777777" w:rsidR="008906F5" w:rsidRPr="007E4F42" w:rsidRDefault="008906F5" w:rsidP="008906F5">
      <w:pPr>
        <w:pStyle w:val="NormalWeb"/>
        <w:ind w:firstLine="720"/>
        <w:rPr>
          <w:rFonts w:ascii="Verdana" w:hAnsi="Verdana" w:cs="Arial"/>
          <w:sz w:val="22"/>
          <w:szCs w:val="22"/>
        </w:rPr>
      </w:pPr>
      <w:r w:rsidRPr="007E4F42">
        <w:rPr>
          <w:rFonts w:ascii="Verdana" w:hAnsi="Verdana" w:cs="Arial"/>
          <w:sz w:val="22"/>
          <w:szCs w:val="22"/>
        </w:rPr>
        <w:t xml:space="preserve">The evidence, which is uncontradicted, reveals that in June of 1968 Maher requested the city council to pay him an additional $ 10,000 for the year beginning on July 1, 1968, and ending on June 30, 1969. This request was made at a public meeting of the city council, where Maher explained in detail his reasons for making the request. Thereafter, the city council voted to authorize the Mayor to sign an amendment to the 1954 contract which provided that Maher would receive an additional $ 10,000 per year for the duration of the contract. Under such circumstances we have no doubt that the city voluntarily agreed to modify the 1964 contract. </w:t>
      </w:r>
    </w:p>
    <w:p w14:paraId="2A7D496F" w14:textId="77777777" w:rsidR="008906F5" w:rsidRPr="007E4F42" w:rsidRDefault="008906F5" w:rsidP="008906F5">
      <w:pPr>
        <w:pStyle w:val="NormalWeb"/>
        <w:ind w:firstLine="720"/>
        <w:rPr>
          <w:rFonts w:ascii="Verdana" w:hAnsi="Verdana" w:cs="Arial"/>
          <w:sz w:val="22"/>
          <w:szCs w:val="22"/>
        </w:rPr>
      </w:pPr>
      <w:r w:rsidRPr="007E4F42">
        <w:rPr>
          <w:rFonts w:ascii="Verdana" w:hAnsi="Verdana" w:cs="Arial"/>
          <w:sz w:val="22"/>
          <w:szCs w:val="22"/>
        </w:rPr>
        <w:t xml:space="preserve">Having determined the voluntariness of this agreement, we turn our attention to the three criteria delineated above. First, the modification was made in June of 1968 at a time when the five-year contract which was made in 1964 had not been fully performed by either party. Second, although the 1964 contract provided that Maher collect all refuse generated within the city, it appears this contract was premised on Maher's past experience that the number of refuse-generating units would increase at a rate of 20 to 25 per year. Furthermore, the evidence is uncontradicted that the 1967-1968 increase of 400 units "went beyond any previous expectation." Clearly, the circumstances which prompted the city council to modify the 1964 contract were unanticipated. Third, although the evidence does not indicate what proportion of the total this increase comprised, the evidence does indicate that it was a "substantial" increase. In light of this, we cannot say that the council's agreement to pay Maher the $ 10,000 increase was not fair and equitable in the circumstances. </w:t>
      </w:r>
    </w:p>
    <w:p w14:paraId="2376FA0C" w14:textId="77777777" w:rsidR="008906F5" w:rsidRPr="007E4F42" w:rsidRDefault="008906F5" w:rsidP="008906F5">
      <w:pPr>
        <w:pStyle w:val="NormalWeb"/>
        <w:ind w:firstLine="720"/>
        <w:rPr>
          <w:rFonts w:ascii="Verdana" w:hAnsi="Verdana" w:cs="Arial"/>
          <w:sz w:val="22"/>
          <w:szCs w:val="22"/>
        </w:rPr>
      </w:pPr>
      <w:r w:rsidRPr="007E4F42">
        <w:rPr>
          <w:rFonts w:ascii="Verdana" w:hAnsi="Verdana" w:cs="Arial"/>
          <w:sz w:val="22"/>
          <w:szCs w:val="22"/>
        </w:rPr>
        <w:t xml:space="preserve">The judgment appealed from is reversed, and the cause is remanded to the Superior Court for entry of judgment for the defendants. </w:t>
      </w:r>
    </w:p>
    <w:p w14:paraId="26636638"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F5"/>
    <w:rsid w:val="00325232"/>
    <w:rsid w:val="004B023F"/>
    <w:rsid w:val="008906F5"/>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7FE7"/>
  <w15:chartTrackingRefBased/>
  <w15:docId w15:val="{7F10AC5B-2A3F-4932-A5C4-7D3FC826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6F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906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2</cp:revision>
  <dcterms:created xsi:type="dcterms:W3CDTF">2020-07-23T01:00:00Z</dcterms:created>
  <dcterms:modified xsi:type="dcterms:W3CDTF">2020-09-02T20:19:00Z</dcterms:modified>
</cp:coreProperties>
</file>